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4C" w:rsidRDefault="0072324C" w:rsidP="0072324C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15</w:t>
      </w:r>
    </w:p>
    <w:p w:rsidR="004805AC" w:rsidRPr="00330E57" w:rsidRDefault="004805AC" w:rsidP="0072324C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180"/>
        <w:gridCol w:w="898"/>
        <w:gridCol w:w="708"/>
        <w:gridCol w:w="4110"/>
      </w:tblGrid>
      <w:tr w:rsidR="0072324C" w:rsidRPr="00330E57" w:rsidTr="00A1083A">
        <w:tc>
          <w:tcPr>
            <w:tcW w:w="1787" w:type="pct"/>
            <w:vMerge w:val="restar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03" w:type="pct"/>
            <w:gridSpan w:val="2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310" w:type="pct"/>
          </w:tcPr>
          <w:p w:rsidR="0072324C" w:rsidRPr="001C513B" w:rsidRDefault="0072324C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910502" w:rsidRPr="00330E57" w:rsidTr="00A1083A"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310" w:type="pct"/>
          </w:tcPr>
          <w:p w:rsidR="00910502" w:rsidRPr="001C513B" w:rsidRDefault="00910502" w:rsidP="0018601C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Gases e dispersões/ Transformações químicas</w:t>
            </w:r>
          </w:p>
        </w:tc>
      </w:tr>
      <w:tr w:rsidR="00910502" w:rsidRPr="00330E57" w:rsidTr="00A1083A">
        <w:trPr>
          <w:trHeight w:val="338"/>
        </w:trPr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310" w:type="pct"/>
          </w:tcPr>
          <w:p w:rsidR="00910502" w:rsidRPr="00330E57" w:rsidRDefault="00910502" w:rsidP="0018601C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Soluções, coloides e suspensões</w:t>
            </w:r>
          </w:p>
          <w:p w:rsidR="00910502" w:rsidRPr="00330E57" w:rsidRDefault="00910502" w:rsidP="0018601C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Energia de ligação e reações químicas</w:t>
            </w:r>
          </w:p>
        </w:tc>
      </w:tr>
      <w:tr w:rsidR="0072324C" w:rsidRPr="00330E57" w:rsidTr="00A1083A">
        <w:tc>
          <w:tcPr>
            <w:tcW w:w="1787" w:type="pct"/>
            <w:vAlign w:val="center"/>
          </w:tcPr>
          <w:p w:rsidR="0072324C" w:rsidRPr="00330E57" w:rsidRDefault="0072324C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213" w:type="pct"/>
            <w:gridSpan w:val="3"/>
            <w:shd w:val="clear" w:color="auto" w:fill="BFBFBF" w:themeFill="background1" w:themeFillShade="BF"/>
          </w:tcPr>
          <w:p w:rsidR="0072324C" w:rsidRPr="00330E57" w:rsidRDefault="0072324C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A1083A" w:rsidRPr="00330E57" w:rsidTr="00A1083A">
        <w:trPr>
          <w:trHeight w:val="77"/>
        </w:trPr>
        <w:tc>
          <w:tcPr>
            <w:tcW w:w="1787" w:type="pct"/>
            <w:vMerge w:val="restart"/>
            <w:vAlign w:val="center"/>
          </w:tcPr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z w:val="20"/>
                <w:szCs w:val="20"/>
              </w:rPr>
              <w:t>2.8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Determinar a composição quantitativa de soluções aquosas e gasosas (como, por exemplo, a atmosfera terrestre), em concentração, concentração em massa, fração molar, percentagem em massa e em volume e partes por milhão, e estabelecer correspondências adequadas.</w:t>
            </w: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uma reação química como resultado de um processo em que ocorre rutura e formação de ligações químicas.</w:t>
            </w: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z w:val="20"/>
                <w:szCs w:val="20"/>
              </w:rPr>
              <w:t>3.2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a formação de ligações químicas como um processo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exoenergético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e a rutura como um processo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endoenergético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z w:val="20"/>
                <w:szCs w:val="20"/>
              </w:rPr>
              <w:t>3.3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Classificar reações químicas em exotérmicas ou em endotérmicas como aquelas que, num sistema isolado, ocorrem, respetivamente, com aumento ou diminuição de temperatura.</w:t>
            </w:r>
          </w:p>
          <w:p w:rsidR="00A1083A" w:rsidRPr="00330E57" w:rsidRDefault="00A1083A" w:rsidP="00A1083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</w:tcPr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8" w:type="pct"/>
            <w:gridSpan w:val="2"/>
            <w:vAlign w:val="center"/>
          </w:tcPr>
          <w:p w:rsidR="00A1083A" w:rsidRPr="00330E57" w:rsidRDefault="00A1083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A1083A" w:rsidRPr="00330E57" w:rsidTr="00A1083A">
        <w:trPr>
          <w:trHeight w:val="2087"/>
        </w:trPr>
        <w:tc>
          <w:tcPr>
            <w:tcW w:w="1787" w:type="pct"/>
            <w:vMerge/>
          </w:tcPr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A1083A" w:rsidRPr="00330E57" w:rsidRDefault="00A1083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8" w:type="pct"/>
            <w:gridSpan w:val="2"/>
            <w:vAlign w:val="center"/>
          </w:tcPr>
          <w:p w:rsidR="00A1083A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FA3D63" w:rsidRPr="00330E57" w:rsidRDefault="00FA3D63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Relação entre diferentes modos de exprimir a composição de uma solução.</w:t>
            </w:r>
          </w:p>
        </w:tc>
      </w:tr>
      <w:tr w:rsidR="00A1083A" w:rsidRPr="00330E57" w:rsidTr="00A1083A">
        <w:trPr>
          <w:trHeight w:val="1870"/>
        </w:trPr>
        <w:tc>
          <w:tcPr>
            <w:tcW w:w="1787" w:type="pct"/>
            <w:vMerge/>
          </w:tcPr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A1083A" w:rsidRPr="00330E57" w:rsidRDefault="00A1083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8" w:type="pct"/>
            <w:gridSpan w:val="2"/>
            <w:vAlign w:val="center"/>
          </w:tcPr>
          <w:p w:rsidR="00A1083A" w:rsidRDefault="00A1083A" w:rsidP="007F385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Energia de ligação e reações químicas.</w:t>
            </w:r>
          </w:p>
          <w:p w:rsidR="00FA3D63" w:rsidRPr="00330E57" w:rsidRDefault="00FA3D63" w:rsidP="007F385A">
            <w:pPr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7F385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Reações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exoenergéticas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endoenergéticas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083A" w:rsidRPr="00330E57" w:rsidTr="00A1083A">
        <w:trPr>
          <w:trHeight w:val="1250"/>
        </w:trPr>
        <w:tc>
          <w:tcPr>
            <w:tcW w:w="1787" w:type="pct"/>
            <w:vMerge/>
          </w:tcPr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A1083A" w:rsidRPr="00330E57" w:rsidRDefault="00A1083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8" w:type="pct"/>
            <w:gridSpan w:val="2"/>
            <w:vAlign w:val="center"/>
          </w:tcPr>
          <w:p w:rsidR="00A1083A" w:rsidRPr="00330E57" w:rsidRDefault="00A1083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AL 2.3</w:t>
            </w:r>
            <w:r w:rsidR="003818E4" w:rsidRPr="00330E57">
              <w:rPr>
                <w:rFonts w:ascii="Arial" w:hAnsi="Arial" w:cs="Arial"/>
                <w:sz w:val="20"/>
                <w:szCs w:val="20"/>
              </w:rPr>
              <w:t xml:space="preserve"> Diluição de soluções</w:t>
            </w:r>
          </w:p>
        </w:tc>
      </w:tr>
    </w:tbl>
    <w:p w:rsidR="00A1083A" w:rsidRPr="00330E57" w:rsidRDefault="00A1083A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9"/>
        <w:gridCol w:w="1700"/>
        <w:gridCol w:w="2269"/>
        <w:gridCol w:w="2268"/>
        <w:gridCol w:w="1527"/>
        <w:gridCol w:w="32"/>
      </w:tblGrid>
      <w:tr w:rsidR="00A1083A" w:rsidRPr="00330E57" w:rsidTr="00AB07F2">
        <w:trPr>
          <w:gridAfter w:val="1"/>
          <w:wAfter w:w="19" w:type="pct"/>
          <w:trHeight w:val="77"/>
        </w:trPr>
        <w:tc>
          <w:tcPr>
            <w:tcW w:w="548" w:type="pct"/>
          </w:tcPr>
          <w:p w:rsidR="00A1083A" w:rsidRPr="00330E57" w:rsidRDefault="00A1083A" w:rsidP="008A69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7" w:type="pct"/>
            <w:gridSpan w:val="2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295" w:type="pct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2" w:type="pct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A1083A" w:rsidRPr="00330E57" w:rsidTr="00AB07F2">
        <w:trPr>
          <w:gridAfter w:val="1"/>
          <w:wAfter w:w="19" w:type="pct"/>
          <w:trHeight w:val="1634"/>
        </w:trPr>
        <w:tc>
          <w:tcPr>
            <w:tcW w:w="548" w:type="pct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7" w:type="pct"/>
            <w:gridSpan w:val="2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818E4" w:rsidRPr="00330E57">
              <w:rPr>
                <w:rFonts w:ascii="Arial" w:hAnsi="Arial" w:cs="Arial"/>
                <w:sz w:val="20"/>
                <w:szCs w:val="20"/>
              </w:rPr>
              <w:t>Aplicar o t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="00FA3D63">
              <w:rPr>
                <w:rFonts w:ascii="Arial" w:hAnsi="Arial" w:cs="Arial"/>
                <w:sz w:val="20"/>
                <w:szCs w:val="20"/>
              </w:rPr>
              <w:t>(sobre a A</w:t>
            </w:r>
            <w:r w:rsidRPr="00330E57">
              <w:rPr>
                <w:rFonts w:ascii="Arial" w:hAnsi="Arial" w:cs="Arial"/>
                <w:sz w:val="20"/>
                <w:szCs w:val="20"/>
              </w:rPr>
              <w:t>L 2.2)</w:t>
            </w: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sobre modos de exprimir a composição de u</w:t>
            </w:r>
            <w:r w:rsidR="0082084B">
              <w:rPr>
                <w:rFonts w:ascii="Arial" w:hAnsi="Arial" w:cs="Arial"/>
                <w:sz w:val="20"/>
                <w:szCs w:val="20"/>
              </w:rPr>
              <w:t>ma solução</w:t>
            </w:r>
          </w:p>
          <w:p w:rsidR="00474CB2" w:rsidRPr="00330E57" w:rsidRDefault="00474CB2" w:rsidP="00474C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destes conceitos e d</w:t>
            </w:r>
            <w:r w:rsidR="0082084B">
              <w:rPr>
                <w:rFonts w:ascii="Arial" w:hAnsi="Arial" w:cs="Arial"/>
                <w:sz w:val="20"/>
                <w:szCs w:val="20"/>
              </w:rPr>
              <w:t>e consolidação do 2.º subdomínio</w:t>
            </w:r>
          </w:p>
          <w:p w:rsidR="00A1083A" w:rsidRPr="00330E57" w:rsidRDefault="00474CB2" w:rsidP="00474C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Fazer uma súmula do 2</w:t>
            </w:r>
            <w:r w:rsidR="0082084B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82084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74CB2" w:rsidRPr="00330E57" w:rsidRDefault="00474CB2" w:rsidP="00474C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818E4" w:rsidRPr="00330E57" w:rsidRDefault="003818E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A3D63" w:rsidRDefault="00FA3D63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818E4" w:rsidRPr="00330E57" w:rsidRDefault="003818E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72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9230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9230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B70231" w:rsidRPr="00330E57">
              <w:rPr>
                <w:rFonts w:ascii="Arial" w:hAnsi="Arial" w:cs="Arial"/>
                <w:sz w:val="20"/>
                <w:szCs w:val="20"/>
              </w:rPr>
              <w:t>, exercícios 24 a 37</w:t>
            </w:r>
          </w:p>
        </w:tc>
      </w:tr>
      <w:tr w:rsidR="00A1083A" w:rsidRPr="00330E57" w:rsidTr="00AB07F2">
        <w:trPr>
          <w:gridAfter w:val="1"/>
          <w:wAfter w:w="19" w:type="pct"/>
        </w:trPr>
        <w:tc>
          <w:tcPr>
            <w:tcW w:w="548" w:type="pct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7" w:type="pct"/>
            <w:gridSpan w:val="2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já referidos (pág.</w:t>
            </w:r>
            <w:r w:rsidR="008208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205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Analisar o exemplo da reação química de formação de água para ilustrar a rutura e formação de ligações </w:t>
            </w:r>
            <w:r w:rsidR="0082084B">
              <w:rPr>
                <w:rFonts w:ascii="Arial" w:hAnsi="Arial" w:cs="Arial"/>
                <w:sz w:val="20"/>
                <w:szCs w:val="20"/>
              </w:rPr>
              <w:t>químicas que ocorre numa reação</w:t>
            </w: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Classificar reações químicas como exotérmicas e endotérmicas, e relacionar esta classificação com a energia envolvida </w:t>
            </w:r>
            <w:r w:rsidR="0082084B">
              <w:rPr>
                <w:rFonts w:ascii="Arial" w:hAnsi="Arial" w:cs="Arial"/>
                <w:sz w:val="20"/>
                <w:szCs w:val="20"/>
              </w:rPr>
              <w:t>na quebra/ formação de ligações</w:t>
            </w:r>
          </w:p>
        </w:tc>
        <w:tc>
          <w:tcPr>
            <w:tcW w:w="1295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A3D63" w:rsidRDefault="00FA3D63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A3D63" w:rsidRDefault="00FA3D63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1083A" w:rsidRPr="00330E57">
              <w:rPr>
                <w:rFonts w:ascii="Arial" w:hAnsi="Arial" w:cs="Arial"/>
                <w:sz w:val="20"/>
                <w:szCs w:val="20"/>
              </w:rPr>
              <w:t xml:space="preserve">205 </w:t>
            </w:r>
            <w:proofErr w:type="gramStart"/>
            <w:r w:rsidR="00A1083A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A1083A" w:rsidRPr="00330E57">
              <w:rPr>
                <w:rFonts w:ascii="Arial" w:hAnsi="Arial" w:cs="Arial"/>
                <w:sz w:val="20"/>
                <w:szCs w:val="20"/>
              </w:rPr>
              <w:t xml:space="preserve"> 208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  <w:tc>
          <w:tcPr>
            <w:tcW w:w="872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083A" w:rsidRPr="00330E57" w:rsidTr="00AB07F2">
        <w:trPr>
          <w:gridAfter w:val="1"/>
          <w:wAfter w:w="19" w:type="pct"/>
          <w:trHeight w:val="1250"/>
        </w:trPr>
        <w:tc>
          <w:tcPr>
            <w:tcW w:w="548" w:type="pct"/>
            <w:vAlign w:val="center"/>
          </w:tcPr>
          <w:p w:rsidR="00A1083A" w:rsidRPr="00330E57" w:rsidRDefault="00A1083A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7" w:type="pct"/>
            <w:gridSpan w:val="2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E</w:t>
            </w:r>
            <w:r w:rsidRPr="00330E57">
              <w:rPr>
                <w:rFonts w:ascii="Arial" w:hAnsi="Arial" w:cs="Arial"/>
                <w:sz w:val="20"/>
                <w:szCs w:val="20"/>
              </w:rPr>
              <w:t>xplorar a técnica de preparação de soluções a partir de uma solução mais concentrada e relacionar com a composição quantitativa de uma solução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edir aos alunos que responda</w:t>
            </w:r>
            <w:r w:rsidR="0082084B">
              <w:rPr>
                <w:rFonts w:ascii="Arial" w:hAnsi="Arial" w:cs="Arial"/>
                <w:sz w:val="20"/>
                <w:szCs w:val="20"/>
              </w:rPr>
              <w:t>m às questões pré-laboratoriais</w:t>
            </w:r>
          </w:p>
          <w:p w:rsidR="00A1083A" w:rsidRPr="00330E57" w:rsidRDefault="00A1083A" w:rsidP="00F07C7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ealizar a atividade laboratorial, finalizando-a com as resposta</w:t>
            </w:r>
            <w:r w:rsidR="0082084B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</w:tc>
        <w:tc>
          <w:tcPr>
            <w:tcW w:w="1295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1083A" w:rsidRPr="00330E57">
              <w:rPr>
                <w:rFonts w:ascii="Arial" w:hAnsi="Arial" w:cs="Arial"/>
                <w:sz w:val="20"/>
                <w:szCs w:val="20"/>
              </w:rPr>
              <w:t xml:space="preserve">228 </w:t>
            </w:r>
            <w:proofErr w:type="gramStart"/>
            <w:r w:rsidR="00A1083A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A1083A" w:rsidRPr="00330E57">
              <w:rPr>
                <w:rFonts w:ascii="Arial" w:hAnsi="Arial" w:cs="Arial"/>
                <w:sz w:val="20"/>
                <w:szCs w:val="20"/>
              </w:rPr>
              <w:t xml:space="preserve"> 230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AB07F2" w:rsidRPr="00330E57" w:rsidRDefault="00AB07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B07F2" w:rsidRPr="00330E57" w:rsidRDefault="00AB07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Material de laboratório:</w:t>
            </w:r>
          </w:p>
          <w:p w:rsidR="00AB07F2" w:rsidRPr="00330E57" w:rsidRDefault="00AB07F2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="0082084B">
              <w:rPr>
                <w:rFonts w:ascii="Arial" w:hAnsi="Arial" w:cs="Arial"/>
                <w:sz w:val="20"/>
                <w:szCs w:val="20"/>
              </w:rPr>
              <w:t>dois</w:t>
            </w:r>
            <w:proofErr w:type="gramEnd"/>
            <w:r w:rsidR="0082084B">
              <w:rPr>
                <w:rFonts w:ascii="Arial" w:hAnsi="Arial" w:cs="Arial"/>
                <w:sz w:val="20"/>
                <w:szCs w:val="20"/>
              </w:rPr>
              <w:t xml:space="preserve"> balões volumétricos de 200 </w:t>
            </w:r>
            <w:proofErr w:type="spellStart"/>
            <w:r w:rsidR="0082084B"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</w:p>
          <w:p w:rsidR="00AB07F2" w:rsidRPr="00330E57" w:rsidRDefault="0082084B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esguicho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com agua destilada</w:t>
            </w:r>
          </w:p>
          <w:p w:rsidR="00AB07F2" w:rsidRPr="00330E57" w:rsidRDefault="0082084B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P</w:t>
            </w:r>
            <w:r w:rsidRPr="00330E57">
              <w:rPr>
                <w:rFonts w:ascii="Arial" w:hAnsi="Arial" w:cs="Arial"/>
                <w:sz w:val="20"/>
                <w:szCs w:val="20"/>
              </w:rPr>
              <w:t>asteur ou conta-gotas</w:t>
            </w:r>
          </w:p>
          <w:p w:rsidR="00AB07F2" w:rsidRPr="00330E57" w:rsidRDefault="0082084B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graduada (ou volumé</w:t>
            </w:r>
            <w:r w:rsidRPr="00330E57">
              <w:rPr>
                <w:rFonts w:ascii="Arial" w:hAnsi="Arial" w:cs="Arial"/>
                <w:sz w:val="20"/>
                <w:szCs w:val="20"/>
              </w:rPr>
              <w:t>trica)</w:t>
            </w:r>
          </w:p>
          <w:p w:rsidR="00AB07F2" w:rsidRPr="00330E57" w:rsidRDefault="0082084B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pompete</w:t>
            </w:r>
            <w:proofErr w:type="spellEnd"/>
            <w:proofErr w:type="gramEnd"/>
          </w:p>
          <w:p w:rsidR="00AB07F2" w:rsidRPr="00330E57" w:rsidRDefault="0082084B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soluçã</w:t>
            </w:r>
            <w:r w:rsidRPr="00330E57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aquosa de sulfato de cobre (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ii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72" w:type="pct"/>
          </w:tcPr>
          <w:p w:rsidR="00A1083A" w:rsidRPr="00330E57" w:rsidRDefault="00A1083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A1083A" w:rsidRPr="00330E57" w:rsidTr="00A1083A">
        <w:tc>
          <w:tcPr>
            <w:tcW w:w="1519" w:type="pct"/>
            <w:gridSpan w:val="2"/>
            <w:vAlign w:val="center"/>
          </w:tcPr>
          <w:p w:rsidR="00A1083A" w:rsidRPr="00330E57" w:rsidRDefault="00A1083A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81" w:type="pct"/>
            <w:gridSpan w:val="4"/>
          </w:tcPr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A1083A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A5132" w:rsidRPr="00330E57" w:rsidRDefault="00A1083A" w:rsidP="00EA51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EA5132" w:rsidRPr="00330E57" w:rsidRDefault="00EA5132" w:rsidP="00EA51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Respostas às questõ</w:t>
            </w:r>
            <w:r w:rsidR="0082084B">
              <w:rPr>
                <w:rFonts w:ascii="Arial" w:hAnsi="Arial" w:cs="Arial"/>
                <w:sz w:val="20"/>
                <w:szCs w:val="20"/>
              </w:rPr>
              <w:t>es pós-laboratoriais</w:t>
            </w:r>
          </w:p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083A" w:rsidRPr="00330E57" w:rsidTr="00A1083A">
        <w:tc>
          <w:tcPr>
            <w:tcW w:w="1519" w:type="pct"/>
            <w:gridSpan w:val="2"/>
            <w:vAlign w:val="center"/>
          </w:tcPr>
          <w:p w:rsidR="00A1083A" w:rsidRPr="00330E57" w:rsidRDefault="00A1083A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81" w:type="pct"/>
            <w:gridSpan w:val="4"/>
          </w:tcPr>
          <w:p w:rsidR="00474CB2" w:rsidRPr="00330E57" w:rsidRDefault="00474CB2" w:rsidP="00474CB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083A" w:rsidRPr="00330E57" w:rsidRDefault="00474CB2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Para consolidação do 2</w:t>
            </w:r>
            <w:r w:rsidR="0082084B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38 a 65 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239 a 243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2324C" w:rsidRPr="00330E57" w:rsidRDefault="0072324C" w:rsidP="00FA3D63">
      <w:pPr>
        <w:spacing w:after="0"/>
        <w:rPr>
          <w:rFonts w:ascii="Arial" w:hAnsi="Arial" w:cs="Arial"/>
        </w:rPr>
      </w:pPr>
    </w:p>
    <w:sectPr w:rsidR="0072324C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A3D63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3789A-49AC-4ED4-B527-216CF9A0C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2015-05-15T11:34:00Z</dcterms:modified>
</cp:coreProperties>
</file>