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E01" w:rsidRPr="00330E57" w:rsidRDefault="00DC4E01" w:rsidP="00DC4E01">
      <w:pPr>
        <w:spacing w:after="0"/>
        <w:rPr>
          <w:rFonts w:ascii="Arial" w:hAnsi="Arial" w:cs="Arial"/>
          <w:b/>
          <w:sz w:val="28"/>
          <w:szCs w:val="28"/>
        </w:rPr>
      </w:pPr>
      <w:r w:rsidRPr="00330E57">
        <w:rPr>
          <w:rFonts w:ascii="Arial" w:hAnsi="Arial" w:cs="Arial"/>
          <w:b/>
          <w:sz w:val="28"/>
          <w:szCs w:val="28"/>
        </w:rPr>
        <w:t>Semana 7</w:t>
      </w:r>
    </w:p>
    <w:tbl>
      <w:tblPr>
        <w:tblStyle w:val="Tabelacomgrelha"/>
        <w:tblW w:w="5020" w:type="pct"/>
        <w:tblLayout w:type="fixed"/>
        <w:tblLook w:val="04A0" w:firstRow="1" w:lastRow="0" w:firstColumn="1" w:lastColumn="0" w:noHBand="0" w:noVBand="1"/>
      </w:tblPr>
      <w:tblGrid>
        <w:gridCol w:w="3179"/>
        <w:gridCol w:w="897"/>
        <w:gridCol w:w="709"/>
        <w:gridCol w:w="3970"/>
      </w:tblGrid>
      <w:tr w:rsidR="00DC4E01" w:rsidRPr="00330E57" w:rsidTr="00F8742A">
        <w:tc>
          <w:tcPr>
            <w:tcW w:w="1816" w:type="pct"/>
            <w:vMerge w:val="restart"/>
            <w:vAlign w:val="center"/>
          </w:tcPr>
          <w:p w:rsidR="00DC4E01" w:rsidRPr="00330E57" w:rsidRDefault="00DC4E01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Conteúdos</w:t>
            </w:r>
          </w:p>
        </w:tc>
        <w:tc>
          <w:tcPr>
            <w:tcW w:w="917" w:type="pct"/>
            <w:gridSpan w:val="2"/>
            <w:vAlign w:val="center"/>
          </w:tcPr>
          <w:p w:rsidR="00DC4E01" w:rsidRPr="00330E57" w:rsidRDefault="00DC4E01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Domínio</w:t>
            </w:r>
          </w:p>
        </w:tc>
        <w:tc>
          <w:tcPr>
            <w:tcW w:w="2267" w:type="pct"/>
          </w:tcPr>
          <w:p w:rsidR="00DC4E01" w:rsidRPr="001C513B" w:rsidRDefault="00DC4E01" w:rsidP="007F385A">
            <w:pPr>
              <w:spacing w:line="276" w:lineRule="auto"/>
              <w:rPr>
                <w:rFonts w:ascii="Arial" w:hAnsi="Arial" w:cs="Arial"/>
                <w:color w:val="C00000"/>
              </w:rPr>
            </w:pPr>
            <w:r w:rsidRPr="001C513B">
              <w:rPr>
                <w:rFonts w:ascii="Arial" w:hAnsi="Arial" w:cs="Arial"/>
                <w:b/>
                <w:bCs/>
                <w:iCs/>
                <w:color w:val="C00000"/>
              </w:rPr>
              <w:t>Elementos químicos e sua organização</w:t>
            </w:r>
          </w:p>
        </w:tc>
      </w:tr>
      <w:tr w:rsidR="00DC4E01" w:rsidRPr="00330E57" w:rsidTr="00F8742A">
        <w:tc>
          <w:tcPr>
            <w:tcW w:w="1816" w:type="pct"/>
            <w:vMerge/>
          </w:tcPr>
          <w:p w:rsidR="00DC4E01" w:rsidRPr="00330E57" w:rsidRDefault="00DC4E01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7" w:type="pct"/>
            <w:gridSpan w:val="2"/>
            <w:vAlign w:val="center"/>
          </w:tcPr>
          <w:p w:rsidR="00DC4E01" w:rsidRPr="00330E57" w:rsidRDefault="00DC4E01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Subdomínio</w:t>
            </w:r>
          </w:p>
        </w:tc>
        <w:tc>
          <w:tcPr>
            <w:tcW w:w="2267" w:type="pct"/>
          </w:tcPr>
          <w:p w:rsidR="00DC4E01" w:rsidRPr="001C513B" w:rsidRDefault="00DC4E01" w:rsidP="007F385A">
            <w:pPr>
              <w:spacing w:line="276" w:lineRule="auto"/>
              <w:rPr>
                <w:rFonts w:ascii="Arial" w:hAnsi="Arial" w:cs="Arial"/>
                <w:color w:val="C00000"/>
              </w:rPr>
            </w:pPr>
            <w:r w:rsidRPr="001C513B">
              <w:rPr>
                <w:rFonts w:ascii="Arial" w:hAnsi="Arial" w:cs="Arial"/>
                <w:b/>
                <w:bCs/>
                <w:iCs/>
                <w:color w:val="C00000"/>
              </w:rPr>
              <w:t>A Tabela Periódica</w:t>
            </w:r>
          </w:p>
        </w:tc>
      </w:tr>
      <w:tr w:rsidR="00DC4E01" w:rsidRPr="00330E57" w:rsidTr="00F8742A">
        <w:trPr>
          <w:trHeight w:val="338"/>
        </w:trPr>
        <w:tc>
          <w:tcPr>
            <w:tcW w:w="1816" w:type="pct"/>
            <w:vMerge/>
          </w:tcPr>
          <w:p w:rsidR="00DC4E01" w:rsidRPr="00330E57" w:rsidRDefault="00DC4E01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7" w:type="pct"/>
            <w:gridSpan w:val="2"/>
            <w:vAlign w:val="center"/>
          </w:tcPr>
          <w:p w:rsidR="00DC4E01" w:rsidRPr="00330E57" w:rsidRDefault="00DC4E01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Unidades</w:t>
            </w:r>
          </w:p>
        </w:tc>
        <w:tc>
          <w:tcPr>
            <w:tcW w:w="2267" w:type="pct"/>
          </w:tcPr>
          <w:p w:rsidR="00DC4E01" w:rsidRPr="00330E57" w:rsidRDefault="005923BA" w:rsidP="005923BA">
            <w:pPr>
              <w:rPr>
                <w:rFonts w:ascii="Arial" w:hAnsi="Arial" w:cs="Arial"/>
              </w:rPr>
            </w:pPr>
            <w:r w:rsidRPr="00330E57">
              <w:rPr>
                <w:rFonts w:ascii="Arial" w:hAnsi="Arial" w:cs="Arial"/>
                <w:bCs/>
              </w:rPr>
              <w:t>Estrutura da Tabela Periódica</w:t>
            </w:r>
          </w:p>
        </w:tc>
      </w:tr>
      <w:tr w:rsidR="00DC4E01" w:rsidRPr="00330E57" w:rsidTr="00F8742A">
        <w:tc>
          <w:tcPr>
            <w:tcW w:w="1816" w:type="pct"/>
            <w:vAlign w:val="center"/>
          </w:tcPr>
          <w:p w:rsidR="00DC4E01" w:rsidRPr="00330E57" w:rsidRDefault="00DC4E01" w:rsidP="007F385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30E57">
              <w:rPr>
                <w:rFonts w:ascii="Arial" w:hAnsi="Arial" w:cs="Arial"/>
                <w:b/>
              </w:rPr>
              <w:t>Objetivos/Metas Curriculares</w:t>
            </w:r>
          </w:p>
        </w:tc>
        <w:tc>
          <w:tcPr>
            <w:tcW w:w="3184" w:type="pct"/>
            <w:gridSpan w:val="3"/>
            <w:shd w:val="clear" w:color="auto" w:fill="BFBFBF" w:themeFill="background1" w:themeFillShade="BF"/>
          </w:tcPr>
          <w:p w:rsidR="00DC4E01" w:rsidRPr="00330E57" w:rsidRDefault="00DC4E01" w:rsidP="007F385A">
            <w:pPr>
              <w:spacing w:line="360" w:lineRule="auto"/>
              <w:rPr>
                <w:rFonts w:ascii="Arial" w:hAnsi="Arial" w:cs="Arial"/>
                <w:highlight w:val="lightGray"/>
              </w:rPr>
            </w:pPr>
          </w:p>
        </w:tc>
      </w:tr>
      <w:tr w:rsidR="00F8742A" w:rsidRPr="00330E57" w:rsidTr="00F8742A">
        <w:trPr>
          <w:trHeight w:val="77"/>
        </w:trPr>
        <w:tc>
          <w:tcPr>
            <w:tcW w:w="1816" w:type="pct"/>
            <w:vMerge w:val="restart"/>
            <w:vAlign w:val="center"/>
          </w:tcPr>
          <w:p w:rsidR="00F8742A" w:rsidRPr="00330E57" w:rsidRDefault="00F8742A" w:rsidP="005923B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76AD8">
              <w:rPr>
                <w:rFonts w:ascii="Arial" w:hAnsi="Arial" w:cs="Arial"/>
                <w:b/>
                <w:sz w:val="20"/>
                <w:szCs w:val="20"/>
              </w:rPr>
              <w:t>3.2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Interpretar a </w:t>
            </w:r>
            <w:bookmarkStart w:id="0" w:name="_GoBack"/>
            <w:r w:rsidRPr="00330E57">
              <w:rPr>
                <w:rFonts w:ascii="Arial" w:hAnsi="Arial" w:cs="Arial"/>
                <w:sz w:val="20"/>
                <w:szCs w:val="20"/>
              </w:rPr>
              <w:t>organização da Tabela Periódica com base em períodos, grupos e blocos e relacionar a configuração eletrónica dos átomos dos elementos com a sua posição relativa na Tabela Periódica.</w:t>
            </w:r>
            <w:bookmarkEnd w:id="0"/>
          </w:p>
          <w:p w:rsidR="00F8742A" w:rsidRPr="00330E57" w:rsidRDefault="00F8742A" w:rsidP="007F385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" w:type="pct"/>
          </w:tcPr>
          <w:p w:rsidR="00F8742A" w:rsidRPr="00330E57" w:rsidRDefault="00F8742A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pct"/>
            <w:gridSpan w:val="2"/>
            <w:vAlign w:val="center"/>
          </w:tcPr>
          <w:p w:rsidR="00F8742A" w:rsidRPr="00330E57" w:rsidRDefault="00F8742A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Sumários</w:t>
            </w:r>
          </w:p>
        </w:tc>
      </w:tr>
      <w:tr w:rsidR="00F8742A" w:rsidRPr="00330E57" w:rsidTr="00F8742A">
        <w:trPr>
          <w:trHeight w:val="1634"/>
        </w:trPr>
        <w:tc>
          <w:tcPr>
            <w:tcW w:w="1816" w:type="pct"/>
            <w:vMerge/>
          </w:tcPr>
          <w:p w:rsidR="00F8742A" w:rsidRPr="00330E57" w:rsidRDefault="00F8742A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" w:type="pct"/>
            <w:vAlign w:val="center"/>
          </w:tcPr>
          <w:p w:rsidR="00F8742A" w:rsidRPr="00330E57" w:rsidRDefault="00F8742A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672" w:type="pct"/>
            <w:gridSpan w:val="2"/>
            <w:vAlign w:val="center"/>
          </w:tcPr>
          <w:p w:rsidR="00F8742A" w:rsidRPr="00330E57" w:rsidRDefault="00F8742A" w:rsidP="005923BA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2</w:t>
            </w:r>
            <w:r w:rsidR="00276AD8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º </w:t>
            </w:r>
            <w:proofErr w:type="gramStart"/>
            <w:r w:rsidR="00276AD8">
              <w:rPr>
                <w:rFonts w:ascii="Arial" w:hAnsi="Arial" w:cs="Arial"/>
                <w:sz w:val="20"/>
                <w:szCs w:val="20"/>
              </w:rPr>
              <w:t>t</w:t>
            </w:r>
            <w:r w:rsidRPr="00330E57">
              <w:rPr>
                <w:rFonts w:ascii="Arial" w:hAnsi="Arial" w:cs="Arial"/>
                <w:sz w:val="20"/>
                <w:szCs w:val="20"/>
              </w:rPr>
              <w:t>este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avaliação sumativa.</w:t>
            </w:r>
          </w:p>
          <w:p w:rsidR="00F8742A" w:rsidRPr="00330E57" w:rsidRDefault="00F8742A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742A" w:rsidRPr="00330E57" w:rsidTr="00F8742A">
        <w:tc>
          <w:tcPr>
            <w:tcW w:w="1816" w:type="pct"/>
            <w:vMerge/>
          </w:tcPr>
          <w:p w:rsidR="00F8742A" w:rsidRPr="00330E57" w:rsidRDefault="00F8742A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" w:type="pct"/>
            <w:vAlign w:val="center"/>
          </w:tcPr>
          <w:p w:rsidR="00F8742A" w:rsidRPr="00330E57" w:rsidRDefault="00F8742A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672" w:type="pct"/>
            <w:gridSpan w:val="2"/>
            <w:vAlign w:val="center"/>
          </w:tcPr>
          <w:p w:rsidR="00F8742A" w:rsidRPr="00330E57" w:rsidRDefault="00F8742A" w:rsidP="005923BA">
            <w:pPr>
              <w:rPr>
                <w:rFonts w:ascii="Arial" w:hAnsi="Arial" w:cs="Arial"/>
                <w:sz w:val="20"/>
                <w:szCs w:val="20"/>
              </w:rPr>
            </w:pPr>
          </w:p>
          <w:p w:rsidR="00F8742A" w:rsidRDefault="00F8742A" w:rsidP="005923BA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Estrutura da Tabela Periódica: grupos, períodos e blocos.</w:t>
            </w:r>
          </w:p>
          <w:p w:rsidR="002E686C" w:rsidRPr="00330E57" w:rsidRDefault="002E686C" w:rsidP="005923BA">
            <w:pPr>
              <w:rPr>
                <w:rFonts w:ascii="Arial" w:hAnsi="Arial" w:cs="Arial"/>
                <w:sz w:val="20"/>
                <w:szCs w:val="20"/>
              </w:rPr>
            </w:pPr>
          </w:p>
          <w:p w:rsidR="00F8742A" w:rsidRDefault="00F8742A" w:rsidP="005923B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30E57">
              <w:rPr>
                <w:rFonts w:ascii="Arial" w:hAnsi="Arial" w:cs="Arial"/>
                <w:bCs/>
                <w:sz w:val="20"/>
                <w:szCs w:val="20"/>
              </w:rPr>
              <w:t>Classificações dos elementos da Tabela Periódica</w:t>
            </w:r>
            <w:r w:rsidR="002E686C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2E686C" w:rsidRPr="00330E57" w:rsidRDefault="002E686C" w:rsidP="005923B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F8742A" w:rsidRPr="00330E57" w:rsidRDefault="00F8742A" w:rsidP="005923BA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bCs/>
                <w:sz w:val="20"/>
                <w:szCs w:val="20"/>
              </w:rPr>
              <w:t>Configuração eletrónica e posição na Tabela Periódica.</w:t>
            </w:r>
          </w:p>
          <w:p w:rsidR="00F8742A" w:rsidRPr="00330E57" w:rsidRDefault="00F8742A" w:rsidP="009E26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742A" w:rsidRPr="00330E57" w:rsidTr="00F8742A">
        <w:trPr>
          <w:trHeight w:val="1576"/>
        </w:trPr>
        <w:tc>
          <w:tcPr>
            <w:tcW w:w="1816" w:type="pct"/>
            <w:vMerge/>
          </w:tcPr>
          <w:p w:rsidR="00F8742A" w:rsidRPr="00330E57" w:rsidRDefault="00F8742A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" w:type="pct"/>
            <w:vAlign w:val="center"/>
          </w:tcPr>
          <w:p w:rsidR="00F8742A" w:rsidRPr="00330E57" w:rsidRDefault="00F8742A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672" w:type="pct"/>
            <w:gridSpan w:val="2"/>
            <w:vAlign w:val="center"/>
          </w:tcPr>
          <w:p w:rsidR="00F8742A" w:rsidRPr="00330E57" w:rsidRDefault="00276AD8" w:rsidP="005923BA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AL 1.3</w:t>
            </w:r>
            <w:r w:rsidR="00F8742A" w:rsidRPr="00330E57">
              <w:rPr>
                <w:rFonts w:ascii="Arial" w:hAnsi="Arial" w:cs="Arial"/>
                <w:bCs/>
                <w:sz w:val="20"/>
                <w:szCs w:val="20"/>
              </w:rPr>
              <w:t xml:space="preserve"> Densidade relativa de metais.</w:t>
            </w:r>
          </w:p>
          <w:p w:rsidR="00F8742A" w:rsidRPr="00330E57" w:rsidRDefault="00F8742A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C4E01" w:rsidRPr="00330E57" w:rsidRDefault="00DC4E01" w:rsidP="00DC4E01">
      <w:pPr>
        <w:spacing w:after="0"/>
        <w:rPr>
          <w:rFonts w:ascii="Arial" w:hAnsi="Arial" w:cs="Arial"/>
        </w:rPr>
      </w:pPr>
    </w:p>
    <w:p w:rsidR="00DC4E01" w:rsidRPr="00330E57" w:rsidRDefault="00DC4E01" w:rsidP="00DC4E01">
      <w:pPr>
        <w:rPr>
          <w:rFonts w:ascii="Arial" w:hAnsi="Arial" w:cs="Arial"/>
        </w:rPr>
      </w:pPr>
      <w:r w:rsidRPr="00330E57">
        <w:rPr>
          <w:rFonts w:ascii="Arial" w:hAnsi="Arial" w:cs="Arial"/>
        </w:rPr>
        <w:br w:type="page"/>
      </w:r>
    </w:p>
    <w:tbl>
      <w:tblPr>
        <w:tblStyle w:val="Tabelacomgrelha"/>
        <w:tblW w:w="5000" w:type="pct"/>
        <w:tblLayout w:type="fixed"/>
        <w:tblLook w:val="04A0" w:firstRow="1" w:lastRow="0" w:firstColumn="1" w:lastColumn="0" w:noHBand="0" w:noVBand="1"/>
      </w:tblPr>
      <w:tblGrid>
        <w:gridCol w:w="957"/>
        <w:gridCol w:w="924"/>
        <w:gridCol w:w="3045"/>
        <w:gridCol w:w="1985"/>
        <w:gridCol w:w="1809"/>
      </w:tblGrid>
      <w:tr w:rsidR="00F8742A" w:rsidRPr="00330E57" w:rsidTr="00F8742A">
        <w:trPr>
          <w:trHeight w:val="77"/>
        </w:trPr>
        <w:tc>
          <w:tcPr>
            <w:tcW w:w="549" w:type="pct"/>
          </w:tcPr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vAlign w:val="center"/>
          </w:tcPr>
          <w:p w:rsidR="00F8742A" w:rsidRPr="00330E57" w:rsidRDefault="00F8742A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Estratégias de ensino</w:t>
            </w:r>
          </w:p>
        </w:tc>
        <w:tc>
          <w:tcPr>
            <w:tcW w:w="1138" w:type="pct"/>
            <w:vAlign w:val="center"/>
          </w:tcPr>
          <w:p w:rsidR="00F8742A" w:rsidRPr="00330E57" w:rsidRDefault="00F8742A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Recursos</w:t>
            </w:r>
          </w:p>
          <w:p w:rsidR="00F8742A" w:rsidRPr="00330E57" w:rsidRDefault="00F8742A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37" w:type="pct"/>
            <w:vAlign w:val="center"/>
          </w:tcPr>
          <w:p w:rsidR="00F8742A" w:rsidRPr="00330E57" w:rsidRDefault="00F8742A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Ativ</w:t>
            </w:r>
            <w:proofErr w:type="spellEnd"/>
            <w:r w:rsidRPr="00330E57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proofErr w:type="gram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consolidação</w:t>
            </w:r>
            <w:proofErr w:type="gramEnd"/>
          </w:p>
        </w:tc>
      </w:tr>
      <w:tr w:rsidR="00F8742A" w:rsidRPr="00330E57" w:rsidTr="00F8742A">
        <w:trPr>
          <w:trHeight w:val="1634"/>
        </w:trPr>
        <w:tc>
          <w:tcPr>
            <w:tcW w:w="549" w:type="pct"/>
            <w:vAlign w:val="center"/>
          </w:tcPr>
          <w:p w:rsidR="00F8742A" w:rsidRPr="00330E57" w:rsidRDefault="00F8742A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276" w:type="pct"/>
            <w:gridSpan w:val="2"/>
          </w:tcPr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Aplica</w:t>
            </w:r>
            <w:r w:rsidR="00276AD8">
              <w:rPr>
                <w:rFonts w:ascii="Arial" w:hAnsi="Arial" w:cs="Arial"/>
                <w:sz w:val="20"/>
                <w:szCs w:val="20"/>
              </w:rPr>
              <w:t>r o teste de avaliação sumativa</w:t>
            </w:r>
          </w:p>
        </w:tc>
        <w:tc>
          <w:tcPr>
            <w:tcW w:w="1138" w:type="pct"/>
          </w:tcPr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F8742A" w:rsidP="00276AD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Teste </w:t>
            </w:r>
            <w:r w:rsidR="00276AD8">
              <w:rPr>
                <w:rFonts w:ascii="Arial" w:hAnsi="Arial" w:cs="Arial"/>
                <w:sz w:val="20"/>
                <w:szCs w:val="20"/>
              </w:rPr>
              <w:t xml:space="preserve">de avaliação </w:t>
            </w:r>
            <w:r w:rsidRPr="00330E57">
              <w:rPr>
                <w:rFonts w:ascii="Arial" w:hAnsi="Arial" w:cs="Arial"/>
                <w:sz w:val="20"/>
                <w:szCs w:val="20"/>
              </w:rPr>
              <w:t>sumativ</w:t>
            </w:r>
            <w:r w:rsidR="00276AD8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037" w:type="pct"/>
          </w:tcPr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742A" w:rsidRPr="00330E57" w:rsidTr="00F8742A">
        <w:tc>
          <w:tcPr>
            <w:tcW w:w="549" w:type="pct"/>
            <w:vAlign w:val="center"/>
          </w:tcPr>
          <w:p w:rsidR="00F8742A" w:rsidRPr="00330E57" w:rsidRDefault="00F8742A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276" w:type="pct"/>
            <w:gridSpan w:val="2"/>
          </w:tcPr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Analisar a estrutura da Tabela Periódica, evidenciando grupos e períodos, dando especial </w:t>
            </w:r>
            <w:r w:rsidR="00276AD8">
              <w:rPr>
                <w:rFonts w:ascii="Arial" w:hAnsi="Arial" w:cs="Arial"/>
                <w:sz w:val="20"/>
                <w:szCs w:val="20"/>
              </w:rPr>
              <w:t>ênfase aos grupos 1, 2, 17 e 18</w:t>
            </w: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Distinguir entre m</w:t>
            </w:r>
            <w:r w:rsidR="00276AD8">
              <w:rPr>
                <w:rFonts w:ascii="Arial" w:hAnsi="Arial" w:cs="Arial"/>
                <w:sz w:val="20"/>
                <w:szCs w:val="20"/>
              </w:rPr>
              <w:t>etais, não metais e semimetais</w:t>
            </w: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Referir também a distinção entre elementos representati</w:t>
            </w:r>
            <w:r w:rsidR="00276AD8">
              <w:rPr>
                <w:rFonts w:ascii="Arial" w:hAnsi="Arial" w:cs="Arial"/>
                <w:sz w:val="20"/>
                <w:szCs w:val="20"/>
              </w:rPr>
              <w:t>vos e elementos de transição</w:t>
            </w: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Relacionar a configuração eletrónica dos elementos químicos com a sua </w:t>
            </w:r>
            <w:r w:rsidR="00276AD8">
              <w:rPr>
                <w:rFonts w:ascii="Arial" w:hAnsi="Arial" w:cs="Arial"/>
                <w:sz w:val="20"/>
                <w:szCs w:val="20"/>
              </w:rPr>
              <w:t>localização na Tabela Periódica</w:t>
            </w: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Referir a organização</w:t>
            </w:r>
            <w:r w:rsidR="00276AD8">
              <w:rPr>
                <w:rFonts w:ascii="Arial" w:hAnsi="Arial" w:cs="Arial"/>
                <w:sz w:val="20"/>
                <w:szCs w:val="20"/>
              </w:rPr>
              <w:t xml:space="preserve"> da Tabela Periódica por blocos</w:t>
            </w: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pct"/>
          </w:tcPr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894CE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276AD8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F8742A" w:rsidRPr="00330E57">
              <w:rPr>
                <w:rFonts w:ascii="Arial" w:hAnsi="Arial" w:cs="Arial"/>
                <w:sz w:val="20"/>
                <w:szCs w:val="20"/>
              </w:rPr>
              <w:t xml:space="preserve">85 </w:t>
            </w:r>
            <w:proofErr w:type="gramStart"/>
            <w:r w:rsidR="00F8742A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F8742A" w:rsidRPr="00330E57">
              <w:rPr>
                <w:rFonts w:ascii="Arial" w:hAnsi="Arial" w:cs="Arial"/>
                <w:sz w:val="20"/>
                <w:szCs w:val="20"/>
              </w:rPr>
              <w:t xml:space="preserve"> 90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F8742A" w:rsidP="003839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pct"/>
          </w:tcPr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Exercícios 5 a 8 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="00276AD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102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742A" w:rsidRPr="00330E57" w:rsidTr="00F8742A">
        <w:trPr>
          <w:trHeight w:val="1250"/>
        </w:trPr>
        <w:tc>
          <w:tcPr>
            <w:tcW w:w="549" w:type="pct"/>
            <w:vAlign w:val="center"/>
          </w:tcPr>
          <w:p w:rsidR="00F8742A" w:rsidRPr="00330E57" w:rsidRDefault="00F8742A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276" w:type="pct"/>
            <w:gridSpan w:val="2"/>
          </w:tcPr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Recordar os conceitos de densidade ou massa volúmica e referir métodos de determina</w:t>
            </w:r>
            <w:r w:rsidR="00276AD8">
              <w:rPr>
                <w:rFonts w:ascii="Arial" w:hAnsi="Arial" w:cs="Arial"/>
                <w:sz w:val="20"/>
                <w:szCs w:val="20"/>
              </w:rPr>
              <w:t>ção experimental desta grandeza</w:t>
            </w: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Introd</w:t>
            </w:r>
            <w:r w:rsidR="00276AD8">
              <w:rPr>
                <w:rFonts w:ascii="Arial" w:hAnsi="Arial" w:cs="Arial"/>
                <w:sz w:val="20"/>
                <w:szCs w:val="20"/>
              </w:rPr>
              <w:t>uzir as técnicas de picnometria</w:t>
            </w: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Pedir aos alunos que responda</w:t>
            </w:r>
            <w:r w:rsidR="00276AD8">
              <w:rPr>
                <w:rFonts w:ascii="Arial" w:hAnsi="Arial" w:cs="Arial"/>
                <w:sz w:val="20"/>
                <w:szCs w:val="20"/>
              </w:rPr>
              <w:t>m às questões pré-laboratoriais</w:t>
            </w: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F8742A" w:rsidP="00F8742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Realizar a atividade laboratorial, finalizando-a com as resposta</w:t>
            </w:r>
            <w:r w:rsidR="00276AD8">
              <w:rPr>
                <w:rFonts w:ascii="Arial" w:hAnsi="Arial" w:cs="Arial"/>
                <w:sz w:val="20"/>
                <w:szCs w:val="20"/>
              </w:rPr>
              <w:t>s às questões pós-laboratoriais</w:t>
            </w:r>
          </w:p>
          <w:p w:rsidR="00F8742A" w:rsidRPr="00330E57" w:rsidRDefault="00F8742A" w:rsidP="00F8742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pct"/>
          </w:tcPr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894CE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276AD8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F8742A" w:rsidRPr="00330E57">
              <w:rPr>
                <w:rFonts w:ascii="Arial" w:hAnsi="Arial" w:cs="Arial"/>
                <w:sz w:val="20"/>
                <w:szCs w:val="20"/>
              </w:rPr>
              <w:t xml:space="preserve">115 </w:t>
            </w:r>
            <w:proofErr w:type="gramStart"/>
            <w:r w:rsidR="00F8742A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F8742A" w:rsidRPr="00330E57">
              <w:rPr>
                <w:rFonts w:ascii="Arial" w:hAnsi="Arial" w:cs="Arial"/>
                <w:sz w:val="20"/>
                <w:szCs w:val="20"/>
              </w:rPr>
              <w:t xml:space="preserve"> 117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F8742A" w:rsidP="00F8742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Material de laboratório: </w:t>
            </w:r>
          </w:p>
          <w:p w:rsidR="00F8742A" w:rsidRPr="00330E57" w:rsidRDefault="00F8742A" w:rsidP="00F8742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="00276AD8" w:rsidRPr="00330E57">
              <w:rPr>
                <w:rFonts w:ascii="Arial" w:hAnsi="Arial" w:cs="Arial"/>
                <w:sz w:val="20"/>
                <w:szCs w:val="20"/>
              </w:rPr>
              <w:t>balança</w:t>
            </w:r>
            <w:proofErr w:type="gramEnd"/>
            <w:r w:rsidR="00276AD8" w:rsidRPr="00330E57">
              <w:rPr>
                <w:rFonts w:ascii="Arial" w:hAnsi="Arial" w:cs="Arial"/>
                <w:sz w:val="20"/>
                <w:szCs w:val="20"/>
              </w:rPr>
              <w:t xml:space="preserve"> analítica</w:t>
            </w:r>
          </w:p>
          <w:p w:rsidR="00F8742A" w:rsidRPr="00330E57" w:rsidRDefault="00276AD8" w:rsidP="00F8742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picnómetro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sólidos</w:t>
            </w:r>
          </w:p>
          <w:p w:rsidR="00F8742A" w:rsidRPr="00330E57" w:rsidRDefault="00276AD8" w:rsidP="00F8742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termómetro</w:t>
            </w:r>
            <w:proofErr w:type="gramEnd"/>
          </w:p>
          <w:p w:rsidR="00F8742A" w:rsidRPr="00330E57" w:rsidRDefault="00276AD8" w:rsidP="00F8742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esguicho</w:t>
            </w:r>
            <w:proofErr w:type="gramEnd"/>
          </w:p>
          <w:p w:rsidR="00F8742A" w:rsidRPr="00330E57" w:rsidRDefault="00276AD8" w:rsidP="00F8742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água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destilada</w:t>
            </w:r>
          </w:p>
          <w:p w:rsidR="00F8742A" w:rsidRPr="00330E57" w:rsidRDefault="00276AD8" w:rsidP="00F8742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pipeta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330E57">
              <w:rPr>
                <w:rFonts w:ascii="Arial" w:hAnsi="Arial" w:cs="Arial"/>
                <w:sz w:val="20"/>
                <w:szCs w:val="20"/>
              </w:rPr>
              <w:t>asteur</w:t>
            </w:r>
          </w:p>
          <w:p w:rsidR="00F8742A" w:rsidRPr="00330E57" w:rsidRDefault="00276AD8" w:rsidP="00F8742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papel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absorvente</w:t>
            </w:r>
          </w:p>
          <w:p w:rsidR="00F8742A" w:rsidRPr="00330E57" w:rsidRDefault="00276AD8" w:rsidP="00F8742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pedaços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metal (por exemplo, alumínio,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>chumbo, ferro ou cobre)</w:t>
            </w:r>
          </w:p>
          <w:p w:rsidR="00F8742A" w:rsidRPr="00330E57" w:rsidRDefault="00276AD8" w:rsidP="00F8742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vidro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relógio</w:t>
            </w: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pct"/>
          </w:tcPr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F8742A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14676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Caderno de atividades</w:t>
            </w:r>
            <w:r w:rsidR="00F8742A" w:rsidRPr="00330E57">
              <w:rPr>
                <w:rFonts w:ascii="Arial" w:hAnsi="Arial" w:cs="Arial"/>
                <w:sz w:val="20"/>
                <w:szCs w:val="20"/>
              </w:rPr>
              <w:t>, exercícios 1 a 9</w:t>
            </w:r>
          </w:p>
        </w:tc>
      </w:tr>
      <w:tr w:rsidR="00F8742A" w:rsidRPr="00330E57" w:rsidTr="003839CD">
        <w:tc>
          <w:tcPr>
            <w:tcW w:w="1079" w:type="pct"/>
            <w:gridSpan w:val="2"/>
            <w:vAlign w:val="center"/>
          </w:tcPr>
          <w:p w:rsidR="00F8742A" w:rsidRPr="00330E57" w:rsidRDefault="00F8742A" w:rsidP="003839CD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Avaliação</w:t>
            </w:r>
          </w:p>
        </w:tc>
        <w:tc>
          <w:tcPr>
            <w:tcW w:w="3921" w:type="pct"/>
            <w:gridSpan w:val="3"/>
          </w:tcPr>
          <w:p w:rsidR="00F8742A" w:rsidRPr="00330E57" w:rsidRDefault="00F8742A" w:rsidP="003839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8742A" w:rsidRPr="00330E57" w:rsidRDefault="00F8742A" w:rsidP="003839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2</w:t>
            </w:r>
            <w:r w:rsidR="00276AD8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º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teste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6AD8">
              <w:rPr>
                <w:rFonts w:ascii="Arial" w:hAnsi="Arial" w:cs="Arial"/>
                <w:sz w:val="20"/>
                <w:szCs w:val="20"/>
              </w:rPr>
              <w:t>de avaliação sumativa</w:t>
            </w:r>
          </w:p>
          <w:p w:rsidR="00F8742A" w:rsidRPr="00330E57" w:rsidRDefault="00F8742A" w:rsidP="003839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Grelha de observação do desempenho laboratorial</w:t>
            </w:r>
          </w:p>
          <w:p w:rsidR="00F8742A" w:rsidRPr="00330E57" w:rsidRDefault="00F8742A" w:rsidP="00F8742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Respostas às questões pós-laboratoriais</w:t>
            </w:r>
          </w:p>
          <w:p w:rsidR="00F8742A" w:rsidRPr="00330E57" w:rsidRDefault="00F8742A" w:rsidP="003839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742A" w:rsidRPr="00330E57" w:rsidTr="003839CD">
        <w:tc>
          <w:tcPr>
            <w:tcW w:w="1079" w:type="pct"/>
            <w:gridSpan w:val="2"/>
            <w:vAlign w:val="center"/>
          </w:tcPr>
          <w:p w:rsidR="00F8742A" w:rsidRPr="00330E57" w:rsidRDefault="00F8742A" w:rsidP="003839CD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Observações</w:t>
            </w:r>
          </w:p>
        </w:tc>
        <w:tc>
          <w:tcPr>
            <w:tcW w:w="3921" w:type="pct"/>
            <w:gridSpan w:val="3"/>
          </w:tcPr>
          <w:p w:rsidR="00F8742A" w:rsidRPr="00330E57" w:rsidRDefault="00F8742A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8742A" w:rsidRPr="00330E57" w:rsidRDefault="00F8742A">
      <w:pPr>
        <w:rPr>
          <w:rFonts w:ascii="Arial" w:hAnsi="Arial" w:cs="Arial"/>
          <w:b/>
          <w:sz w:val="28"/>
          <w:szCs w:val="28"/>
        </w:rPr>
      </w:pPr>
    </w:p>
    <w:sectPr w:rsidR="00F8742A" w:rsidRPr="00330E57" w:rsidSect="00E74286">
      <w:footerReference w:type="default" r:id="rId8"/>
      <w:pgSz w:w="11906" w:h="16838"/>
      <w:pgMar w:top="1417" w:right="1701" w:bottom="1417" w:left="1701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286" w:rsidRDefault="00E74286" w:rsidP="00E74286">
      <w:pPr>
        <w:spacing w:after="0" w:line="240" w:lineRule="auto"/>
      </w:pPr>
      <w:r>
        <w:separator/>
      </w:r>
    </w:p>
  </w:endnote>
  <w:end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286" w:rsidRDefault="00E742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286" w:rsidRDefault="00E74286" w:rsidP="00E74286">
      <w:pPr>
        <w:spacing w:after="0" w:line="240" w:lineRule="auto"/>
      </w:pPr>
      <w:r>
        <w:separator/>
      </w:r>
    </w:p>
  </w:footnote>
  <w:foot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65C"/>
    <w:rsid w:val="000201F5"/>
    <w:rsid w:val="00022A65"/>
    <w:rsid w:val="000534A5"/>
    <w:rsid w:val="000576B4"/>
    <w:rsid w:val="00061BD7"/>
    <w:rsid w:val="000711F3"/>
    <w:rsid w:val="00071594"/>
    <w:rsid w:val="00097FCC"/>
    <w:rsid w:val="000A1CE7"/>
    <w:rsid w:val="000B51DB"/>
    <w:rsid w:val="00122B3B"/>
    <w:rsid w:val="00140DA5"/>
    <w:rsid w:val="0014676C"/>
    <w:rsid w:val="00155D3B"/>
    <w:rsid w:val="00171223"/>
    <w:rsid w:val="00185615"/>
    <w:rsid w:val="0018601C"/>
    <w:rsid w:val="001B1D65"/>
    <w:rsid w:val="001C513B"/>
    <w:rsid w:val="001D5F20"/>
    <w:rsid w:val="00207EDF"/>
    <w:rsid w:val="00216F49"/>
    <w:rsid w:val="00237C98"/>
    <w:rsid w:val="00276AD8"/>
    <w:rsid w:val="002B4DA3"/>
    <w:rsid w:val="002E686C"/>
    <w:rsid w:val="003051DE"/>
    <w:rsid w:val="00307888"/>
    <w:rsid w:val="00314AB6"/>
    <w:rsid w:val="00317139"/>
    <w:rsid w:val="00330E57"/>
    <w:rsid w:val="00341F1E"/>
    <w:rsid w:val="00342D72"/>
    <w:rsid w:val="003731EB"/>
    <w:rsid w:val="003818E4"/>
    <w:rsid w:val="003839CD"/>
    <w:rsid w:val="003852B2"/>
    <w:rsid w:val="003863DE"/>
    <w:rsid w:val="00395B0D"/>
    <w:rsid w:val="003B1FF4"/>
    <w:rsid w:val="003D2B44"/>
    <w:rsid w:val="003F159D"/>
    <w:rsid w:val="004723AD"/>
    <w:rsid w:val="00474CB2"/>
    <w:rsid w:val="004805AC"/>
    <w:rsid w:val="00494003"/>
    <w:rsid w:val="004D0350"/>
    <w:rsid w:val="00526748"/>
    <w:rsid w:val="005739BA"/>
    <w:rsid w:val="005923BA"/>
    <w:rsid w:val="005F723E"/>
    <w:rsid w:val="00610FD0"/>
    <w:rsid w:val="00677B77"/>
    <w:rsid w:val="006B4951"/>
    <w:rsid w:val="006F4BFB"/>
    <w:rsid w:val="006F5620"/>
    <w:rsid w:val="00720E8B"/>
    <w:rsid w:val="0072324C"/>
    <w:rsid w:val="0073531C"/>
    <w:rsid w:val="007868A8"/>
    <w:rsid w:val="007A7441"/>
    <w:rsid w:val="007B565C"/>
    <w:rsid w:val="007B610E"/>
    <w:rsid w:val="007C4E76"/>
    <w:rsid w:val="007D214D"/>
    <w:rsid w:val="007D417E"/>
    <w:rsid w:val="007F385A"/>
    <w:rsid w:val="0082084B"/>
    <w:rsid w:val="008251C7"/>
    <w:rsid w:val="008520B8"/>
    <w:rsid w:val="008573A5"/>
    <w:rsid w:val="008632F3"/>
    <w:rsid w:val="00887CB3"/>
    <w:rsid w:val="00894CEE"/>
    <w:rsid w:val="008A692C"/>
    <w:rsid w:val="008C3C8B"/>
    <w:rsid w:val="008D4F31"/>
    <w:rsid w:val="009036B1"/>
    <w:rsid w:val="009059BC"/>
    <w:rsid w:val="009073CA"/>
    <w:rsid w:val="00910502"/>
    <w:rsid w:val="00910843"/>
    <w:rsid w:val="00912C2E"/>
    <w:rsid w:val="009230F2"/>
    <w:rsid w:val="0092689D"/>
    <w:rsid w:val="0094629C"/>
    <w:rsid w:val="0094711F"/>
    <w:rsid w:val="009864C7"/>
    <w:rsid w:val="009A1EEC"/>
    <w:rsid w:val="009B6EDA"/>
    <w:rsid w:val="009C730B"/>
    <w:rsid w:val="009E2636"/>
    <w:rsid w:val="00A045C9"/>
    <w:rsid w:val="00A1083A"/>
    <w:rsid w:val="00A20324"/>
    <w:rsid w:val="00A42629"/>
    <w:rsid w:val="00A47541"/>
    <w:rsid w:val="00A5301F"/>
    <w:rsid w:val="00A91734"/>
    <w:rsid w:val="00AA2A0F"/>
    <w:rsid w:val="00AB07F2"/>
    <w:rsid w:val="00AC6453"/>
    <w:rsid w:val="00B016F1"/>
    <w:rsid w:val="00B24BE5"/>
    <w:rsid w:val="00B437EA"/>
    <w:rsid w:val="00B52EE8"/>
    <w:rsid w:val="00B70231"/>
    <w:rsid w:val="00B75339"/>
    <w:rsid w:val="00BC0A60"/>
    <w:rsid w:val="00BE1C60"/>
    <w:rsid w:val="00BE7F05"/>
    <w:rsid w:val="00BF22E8"/>
    <w:rsid w:val="00BF6D80"/>
    <w:rsid w:val="00C30AF4"/>
    <w:rsid w:val="00C5008A"/>
    <w:rsid w:val="00C52E36"/>
    <w:rsid w:val="00CB5416"/>
    <w:rsid w:val="00CB704C"/>
    <w:rsid w:val="00CC558F"/>
    <w:rsid w:val="00CD6A6E"/>
    <w:rsid w:val="00D047F0"/>
    <w:rsid w:val="00D30996"/>
    <w:rsid w:val="00D32689"/>
    <w:rsid w:val="00D43955"/>
    <w:rsid w:val="00D611FB"/>
    <w:rsid w:val="00D635B4"/>
    <w:rsid w:val="00D810FB"/>
    <w:rsid w:val="00D87440"/>
    <w:rsid w:val="00D92857"/>
    <w:rsid w:val="00D933D6"/>
    <w:rsid w:val="00DA4480"/>
    <w:rsid w:val="00DB1A35"/>
    <w:rsid w:val="00DC0231"/>
    <w:rsid w:val="00DC4E01"/>
    <w:rsid w:val="00DC523B"/>
    <w:rsid w:val="00DE0938"/>
    <w:rsid w:val="00E371AB"/>
    <w:rsid w:val="00E74286"/>
    <w:rsid w:val="00E76640"/>
    <w:rsid w:val="00E84958"/>
    <w:rsid w:val="00E91DB2"/>
    <w:rsid w:val="00E9597D"/>
    <w:rsid w:val="00EA1297"/>
    <w:rsid w:val="00EA5132"/>
    <w:rsid w:val="00EA610C"/>
    <w:rsid w:val="00ED5813"/>
    <w:rsid w:val="00EE3840"/>
    <w:rsid w:val="00F07C74"/>
    <w:rsid w:val="00F10AFE"/>
    <w:rsid w:val="00F5428E"/>
    <w:rsid w:val="00F657D4"/>
    <w:rsid w:val="00F8742A"/>
    <w:rsid w:val="00F91F79"/>
    <w:rsid w:val="00FE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7501F-0E0B-46AA-A52B-544C17BA4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Maria Lopes Santos</cp:lastModifiedBy>
  <cp:revision>3</cp:revision>
  <cp:lastPrinted>2015-05-15T10:52:00Z</cp:lastPrinted>
  <dcterms:created xsi:type="dcterms:W3CDTF">2015-05-15T10:56:00Z</dcterms:created>
  <dcterms:modified xsi:type="dcterms:W3CDTF">2015-05-15T11:14:00Z</dcterms:modified>
</cp:coreProperties>
</file>