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3BA" w:rsidRDefault="005923BA" w:rsidP="005923BA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8</w:t>
      </w:r>
    </w:p>
    <w:p w:rsidR="00B52EE8" w:rsidRPr="00330E57" w:rsidRDefault="00B52EE8" w:rsidP="005923BA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31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18"/>
        <w:gridCol w:w="959"/>
        <w:gridCol w:w="1558"/>
        <w:gridCol w:w="710"/>
        <w:gridCol w:w="851"/>
        <w:gridCol w:w="848"/>
        <w:gridCol w:w="96"/>
        <w:gridCol w:w="1888"/>
        <w:gridCol w:w="1986"/>
        <w:gridCol w:w="59"/>
      </w:tblGrid>
      <w:tr w:rsidR="00CD6A6E" w:rsidRPr="00330E57" w:rsidTr="00B52EE8">
        <w:trPr>
          <w:gridAfter w:val="1"/>
          <w:wAfter w:w="31" w:type="pct"/>
        </w:trPr>
        <w:tc>
          <w:tcPr>
            <w:tcW w:w="1911" w:type="pct"/>
            <w:gridSpan w:val="4"/>
            <w:vMerge w:val="restart"/>
            <w:vAlign w:val="center"/>
          </w:tcPr>
          <w:p w:rsidR="005923BA" w:rsidRPr="00330E57" w:rsidRDefault="005923BA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68" w:type="pct"/>
            <w:gridSpan w:val="3"/>
            <w:vAlign w:val="center"/>
          </w:tcPr>
          <w:p w:rsidR="005923BA" w:rsidRPr="00330E57" w:rsidRDefault="005923BA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089" w:type="pct"/>
            <w:gridSpan w:val="2"/>
          </w:tcPr>
          <w:p w:rsidR="005923BA" w:rsidRPr="00330E57" w:rsidRDefault="005923BA" w:rsidP="005923BA">
            <w:pPr>
              <w:spacing w:line="276" w:lineRule="auto"/>
              <w:rPr>
                <w:rFonts w:ascii="Arial" w:hAnsi="Arial" w:cs="Arial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Elemen</w:t>
            </w:r>
            <w:r w:rsidR="00B52EE8" w:rsidRPr="001C513B">
              <w:rPr>
                <w:rFonts w:ascii="Arial" w:hAnsi="Arial" w:cs="Arial"/>
                <w:b/>
                <w:bCs/>
                <w:iCs/>
                <w:color w:val="C00000"/>
              </w:rPr>
              <w:t>tos químicos e sua organização</w:t>
            </w:r>
            <w:r w:rsidR="00B52EE8">
              <w:rPr>
                <w:rFonts w:ascii="Arial" w:hAnsi="Arial" w:cs="Arial"/>
                <w:b/>
                <w:bCs/>
                <w:iCs/>
              </w:rPr>
              <w:t>/</w:t>
            </w:r>
            <w:r w:rsidRPr="003F159D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CD6A6E" w:rsidRPr="00330E57" w:rsidTr="00B52EE8">
        <w:trPr>
          <w:gridAfter w:val="1"/>
          <w:wAfter w:w="31" w:type="pct"/>
        </w:trPr>
        <w:tc>
          <w:tcPr>
            <w:tcW w:w="1911" w:type="pct"/>
            <w:gridSpan w:val="4"/>
            <w:vMerge/>
          </w:tcPr>
          <w:p w:rsidR="005923BA" w:rsidRPr="00330E57" w:rsidRDefault="005923BA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pct"/>
            <w:gridSpan w:val="3"/>
            <w:vAlign w:val="center"/>
          </w:tcPr>
          <w:p w:rsidR="005923BA" w:rsidRPr="00330E57" w:rsidRDefault="005923BA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089" w:type="pct"/>
            <w:gridSpan w:val="2"/>
          </w:tcPr>
          <w:p w:rsidR="005923BA" w:rsidRPr="00330E57" w:rsidRDefault="005923BA" w:rsidP="00B52EE8">
            <w:pPr>
              <w:spacing w:line="276" w:lineRule="auto"/>
              <w:rPr>
                <w:rFonts w:ascii="Arial" w:hAnsi="Arial" w:cs="Arial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A Tabela Periódica</w:t>
            </w:r>
            <w:r w:rsidRPr="00330E57">
              <w:rPr>
                <w:rFonts w:ascii="Arial" w:hAnsi="Arial" w:cs="Arial"/>
                <w:b/>
                <w:bCs/>
                <w:iCs/>
              </w:rPr>
              <w:t>/</w:t>
            </w:r>
            <w:r w:rsidRPr="003F159D">
              <w:rPr>
                <w:rFonts w:ascii="Arial" w:hAnsi="Arial" w:cs="Arial"/>
                <w:b/>
                <w:bCs/>
                <w:iCs/>
                <w:color w:val="7030A0"/>
              </w:rPr>
              <w:t>Ligação química</w:t>
            </w:r>
          </w:p>
        </w:tc>
      </w:tr>
      <w:tr w:rsidR="00CD6A6E" w:rsidRPr="00330E57" w:rsidTr="00B52EE8">
        <w:trPr>
          <w:gridAfter w:val="1"/>
          <w:wAfter w:w="31" w:type="pct"/>
          <w:trHeight w:val="338"/>
        </w:trPr>
        <w:tc>
          <w:tcPr>
            <w:tcW w:w="1911" w:type="pct"/>
            <w:gridSpan w:val="4"/>
            <w:vMerge/>
          </w:tcPr>
          <w:p w:rsidR="005923BA" w:rsidRPr="00330E57" w:rsidRDefault="005923BA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pct"/>
            <w:gridSpan w:val="3"/>
            <w:vAlign w:val="center"/>
          </w:tcPr>
          <w:p w:rsidR="005923BA" w:rsidRPr="00330E57" w:rsidRDefault="005923BA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089" w:type="pct"/>
            <w:gridSpan w:val="2"/>
          </w:tcPr>
          <w:p w:rsidR="005923BA" w:rsidRPr="00330E57" w:rsidRDefault="005923BA" w:rsidP="005923BA">
            <w:pPr>
              <w:rPr>
                <w:rFonts w:ascii="Arial" w:hAnsi="Arial" w:cs="Arial"/>
                <w:bCs/>
              </w:rPr>
            </w:pPr>
            <w:r w:rsidRPr="00330E57">
              <w:rPr>
                <w:rFonts w:ascii="Arial" w:hAnsi="Arial" w:cs="Arial"/>
                <w:bCs/>
              </w:rPr>
              <w:t>Propriedades periódicas dos elementos representativos</w:t>
            </w:r>
          </w:p>
          <w:p w:rsidR="005923BA" w:rsidRPr="003F159D" w:rsidRDefault="005923BA" w:rsidP="005923BA">
            <w:pPr>
              <w:rPr>
                <w:rFonts w:ascii="Arial" w:hAnsi="Arial" w:cs="Arial"/>
                <w:color w:val="7030A0"/>
              </w:rPr>
            </w:pPr>
            <w:r w:rsidRPr="003F159D">
              <w:rPr>
                <w:rFonts w:ascii="Arial" w:hAnsi="Arial" w:cs="Arial"/>
                <w:bCs/>
                <w:color w:val="7030A0"/>
              </w:rPr>
              <w:t>Tipos de ligações</w:t>
            </w:r>
          </w:p>
        </w:tc>
      </w:tr>
      <w:tr w:rsidR="005923BA" w:rsidRPr="00330E57" w:rsidTr="00B52EE8">
        <w:trPr>
          <w:gridAfter w:val="1"/>
          <w:wAfter w:w="31" w:type="pct"/>
        </w:trPr>
        <w:tc>
          <w:tcPr>
            <w:tcW w:w="1911" w:type="pct"/>
            <w:gridSpan w:val="4"/>
            <w:vAlign w:val="center"/>
          </w:tcPr>
          <w:p w:rsidR="005923BA" w:rsidRPr="00330E57" w:rsidRDefault="005923BA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057" w:type="pct"/>
            <w:gridSpan w:val="5"/>
            <w:shd w:val="clear" w:color="auto" w:fill="BFBFBF" w:themeFill="background1" w:themeFillShade="BF"/>
          </w:tcPr>
          <w:p w:rsidR="005923BA" w:rsidRPr="00330E57" w:rsidRDefault="005923BA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CD6A6E" w:rsidRPr="00330E57" w:rsidTr="00B52EE8">
        <w:trPr>
          <w:gridAfter w:val="1"/>
          <w:wAfter w:w="31" w:type="pct"/>
          <w:trHeight w:val="77"/>
        </w:trPr>
        <w:tc>
          <w:tcPr>
            <w:tcW w:w="1911" w:type="pct"/>
            <w:gridSpan w:val="4"/>
            <w:vMerge w:val="restart"/>
            <w:vAlign w:val="center"/>
          </w:tcPr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3.3</w:t>
            </w:r>
            <w:r w:rsidRPr="00B52EE8">
              <w:rPr>
                <w:rFonts w:ascii="Arial" w:hAnsi="Arial" w:cs="Arial"/>
                <w:sz w:val="20"/>
              </w:rPr>
              <w:t xml:space="preserve"> Identificar a energia de ionização e o raio atómico como propriedades periódicas dos elementos.</w:t>
            </w: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3.4</w:t>
            </w:r>
            <w:r w:rsidRPr="00B52EE8">
              <w:rPr>
                <w:rFonts w:ascii="Arial" w:hAnsi="Arial" w:cs="Arial"/>
                <w:sz w:val="20"/>
              </w:rPr>
              <w:t xml:space="preserve"> Distinguir entre propriedades de um elemento e propriedades </w:t>
            </w:r>
            <w:proofErr w:type="gramStart"/>
            <w:r w:rsidRPr="00B52EE8">
              <w:rPr>
                <w:rFonts w:ascii="Arial" w:hAnsi="Arial" w:cs="Arial"/>
                <w:sz w:val="20"/>
              </w:rPr>
              <w:t>da(s</w:t>
            </w:r>
            <w:proofErr w:type="gramEnd"/>
            <w:r w:rsidRPr="00B52EE8">
              <w:rPr>
                <w:rFonts w:ascii="Arial" w:hAnsi="Arial" w:cs="Arial"/>
                <w:sz w:val="20"/>
              </w:rPr>
              <w:t>) subst</w:t>
            </w:r>
            <w:r w:rsidR="003F159D">
              <w:rPr>
                <w:rFonts w:ascii="Arial" w:hAnsi="Arial" w:cs="Arial"/>
                <w:sz w:val="20"/>
              </w:rPr>
              <w:t>â</w:t>
            </w:r>
            <w:r w:rsidRPr="00B52EE8">
              <w:rPr>
                <w:rFonts w:ascii="Arial" w:hAnsi="Arial" w:cs="Arial"/>
                <w:sz w:val="20"/>
              </w:rPr>
              <w:t>ncia(s) elementar(</w:t>
            </w:r>
            <w:proofErr w:type="spellStart"/>
            <w:r w:rsidRPr="00B52EE8">
              <w:rPr>
                <w:rFonts w:ascii="Arial" w:hAnsi="Arial" w:cs="Arial"/>
                <w:sz w:val="20"/>
              </w:rPr>
              <w:t>es</w:t>
            </w:r>
            <w:proofErr w:type="spellEnd"/>
            <w:r w:rsidRPr="00B52EE8">
              <w:rPr>
                <w:rFonts w:ascii="Arial" w:hAnsi="Arial" w:cs="Arial"/>
                <w:sz w:val="20"/>
              </w:rPr>
              <w:t>) correspondentes.</w:t>
            </w: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3.5</w:t>
            </w:r>
            <w:r w:rsidRPr="00B52EE8">
              <w:rPr>
                <w:rFonts w:ascii="Arial" w:hAnsi="Arial" w:cs="Arial"/>
                <w:sz w:val="20"/>
              </w:rPr>
              <w:t xml:space="preserve"> Comparar raios atómicos e energias de ionização de diferentes elementos químicos com base nas suas posições relativas na Tabela Periódica.</w:t>
            </w: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3.6</w:t>
            </w:r>
            <w:r w:rsidRPr="00B52EE8">
              <w:rPr>
                <w:rFonts w:ascii="Arial" w:hAnsi="Arial" w:cs="Arial"/>
                <w:sz w:val="20"/>
              </w:rPr>
              <w:t xml:space="preserve"> Interpretar a tendência geral para o aumento da energia de ionização e para a diminuição do raio atómico observados ao longo de um período da Tabela Periódica.</w:t>
            </w: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3.7</w:t>
            </w:r>
            <w:r w:rsidRPr="00B52EE8">
              <w:rPr>
                <w:rFonts w:ascii="Arial" w:hAnsi="Arial" w:cs="Arial"/>
                <w:sz w:val="20"/>
              </w:rPr>
              <w:t xml:space="preserve"> Interpretar a tendência geral para a diminuição da energia de ionização e para o aumento do raio atómico observados ao longo de um grupo da Tabela Periódica.</w:t>
            </w: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3.8</w:t>
            </w:r>
            <w:r w:rsidRPr="00B52EE8">
              <w:rPr>
                <w:rFonts w:ascii="Arial" w:hAnsi="Arial" w:cs="Arial"/>
                <w:sz w:val="20"/>
              </w:rPr>
              <w:t xml:space="preserve"> Explicar a formação dos iões m</w:t>
            </w:r>
            <w:r>
              <w:rPr>
                <w:rFonts w:ascii="Arial" w:hAnsi="Arial" w:cs="Arial"/>
                <w:sz w:val="20"/>
              </w:rPr>
              <w:t xml:space="preserve">ais estáveis de metais e de não </w:t>
            </w:r>
            <w:r w:rsidRPr="00B52EE8">
              <w:rPr>
                <w:rFonts w:ascii="Arial" w:hAnsi="Arial" w:cs="Arial"/>
                <w:sz w:val="20"/>
              </w:rPr>
              <w:t>metais.</w:t>
            </w:r>
          </w:p>
          <w:p w:rsid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3.9</w:t>
            </w:r>
            <w:r w:rsidRPr="00B52EE8">
              <w:rPr>
                <w:rFonts w:ascii="Arial" w:hAnsi="Arial" w:cs="Arial"/>
                <w:sz w:val="20"/>
              </w:rPr>
              <w:t xml:space="preserve"> Justificar a baixa reatividade dos gases nobres.</w:t>
            </w: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1.1</w:t>
            </w:r>
            <w:r w:rsidRPr="00B52EE8">
              <w:rPr>
                <w:rFonts w:ascii="Arial" w:hAnsi="Arial" w:cs="Arial"/>
                <w:sz w:val="20"/>
              </w:rPr>
              <w:t xml:space="preserve"> Indicar que um sistema de dois ou mais átomos pode adquirir maior estabilidade através da formação de ligações químicas.</w:t>
            </w:r>
          </w:p>
          <w:p w:rsidR="00B52EE8" w:rsidRPr="00B52EE8" w:rsidRDefault="00B52EE8" w:rsidP="00B52EE8">
            <w:pPr>
              <w:jc w:val="both"/>
              <w:rPr>
                <w:rFonts w:ascii="Arial" w:hAnsi="Arial" w:cs="Arial"/>
                <w:sz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1.2</w:t>
            </w:r>
            <w:r w:rsidRPr="00B52EE8">
              <w:rPr>
                <w:rFonts w:ascii="Arial" w:hAnsi="Arial" w:cs="Arial"/>
                <w:sz w:val="20"/>
              </w:rPr>
              <w:t xml:space="preserve"> Interpretar as interações entre átomos através das forcas de atracão entre núcleos e eletrões, forcas de repulsão entre eletrões e forcas de repulsão entre núcleos.</w:t>
            </w:r>
          </w:p>
          <w:p w:rsidR="00CD6A6E" w:rsidRPr="00330E57" w:rsidRDefault="00B52EE8" w:rsidP="00B52E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2EE8">
              <w:rPr>
                <w:rFonts w:ascii="Arial" w:hAnsi="Arial" w:cs="Arial"/>
                <w:b/>
                <w:sz w:val="20"/>
              </w:rPr>
              <w:t>1.3</w:t>
            </w:r>
            <w:r w:rsidRPr="00B52EE8">
              <w:rPr>
                <w:rFonts w:ascii="Arial" w:hAnsi="Arial" w:cs="Arial"/>
                <w:sz w:val="20"/>
              </w:rPr>
              <w:t xml:space="preserve"> Interpretar gráficos da energia em função da distância interocular durante a formação de uma molécula diatómica identificando o predom</w:t>
            </w:r>
            <w:r>
              <w:rPr>
                <w:rFonts w:ascii="Arial" w:hAnsi="Arial" w:cs="Arial"/>
                <w:sz w:val="20"/>
              </w:rPr>
              <w:t>ínio das repulsões a curta distâ</w:t>
            </w:r>
            <w:r w:rsidRPr="00B52EE8">
              <w:rPr>
                <w:rFonts w:ascii="Arial" w:hAnsi="Arial" w:cs="Arial"/>
                <w:sz w:val="20"/>
              </w:rPr>
              <w:t>ncia e o predom</w:t>
            </w:r>
            <w:r>
              <w:rPr>
                <w:rFonts w:ascii="Arial" w:hAnsi="Arial" w:cs="Arial"/>
                <w:sz w:val="20"/>
              </w:rPr>
              <w:t xml:space="preserve">ínio </w:t>
            </w:r>
            <w:proofErr w:type="gramStart"/>
            <w:r>
              <w:rPr>
                <w:rFonts w:ascii="Arial" w:hAnsi="Arial" w:cs="Arial"/>
                <w:sz w:val="20"/>
              </w:rPr>
              <w:t>das atracões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 longas distâ</w:t>
            </w:r>
            <w:r w:rsidRPr="00B52EE8">
              <w:rPr>
                <w:rFonts w:ascii="Arial" w:hAnsi="Arial" w:cs="Arial"/>
                <w:sz w:val="20"/>
              </w:rPr>
              <w:t xml:space="preserve">ncias, sendo estas distancias respetivamente menores e maiores do que a </w:t>
            </w:r>
            <w:r>
              <w:rPr>
                <w:rFonts w:ascii="Arial" w:hAnsi="Arial" w:cs="Arial"/>
                <w:sz w:val="20"/>
              </w:rPr>
              <w:t>distâ</w:t>
            </w:r>
            <w:r w:rsidRPr="00B52EE8">
              <w:rPr>
                <w:rFonts w:ascii="Arial" w:hAnsi="Arial" w:cs="Arial"/>
                <w:sz w:val="20"/>
              </w:rPr>
              <w:t>ncia de equilíbrio.</w:t>
            </w:r>
          </w:p>
        </w:tc>
        <w:tc>
          <w:tcPr>
            <w:tcW w:w="459" w:type="pct"/>
          </w:tcPr>
          <w:p w:rsidR="00CD6A6E" w:rsidRPr="00330E57" w:rsidRDefault="00CD6A6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8" w:type="pct"/>
            <w:gridSpan w:val="4"/>
            <w:vAlign w:val="center"/>
          </w:tcPr>
          <w:p w:rsidR="00CD6A6E" w:rsidRPr="00330E57" w:rsidRDefault="00CD6A6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CD6A6E" w:rsidRPr="00330E57" w:rsidTr="00B52EE8">
        <w:trPr>
          <w:gridAfter w:val="1"/>
          <w:wAfter w:w="31" w:type="pct"/>
          <w:trHeight w:val="2668"/>
        </w:trPr>
        <w:tc>
          <w:tcPr>
            <w:tcW w:w="1911" w:type="pct"/>
            <w:gridSpan w:val="4"/>
            <w:vMerge/>
          </w:tcPr>
          <w:p w:rsidR="00CD6A6E" w:rsidRPr="00330E57" w:rsidRDefault="00CD6A6E" w:rsidP="00CD6A6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:rsidR="00CD6A6E" w:rsidRPr="00330E57" w:rsidRDefault="00CD6A6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598" w:type="pct"/>
            <w:gridSpan w:val="4"/>
            <w:vAlign w:val="center"/>
          </w:tcPr>
          <w:p w:rsidR="00CD6A6E" w:rsidRPr="00330E57" w:rsidRDefault="00CD6A6E" w:rsidP="005923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Entrega e correção dos testes de avaliação.</w:t>
            </w:r>
          </w:p>
          <w:p w:rsidR="00CD6A6E" w:rsidRPr="00330E57" w:rsidRDefault="00CD6A6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A6E" w:rsidRPr="00330E57" w:rsidTr="00B52EE8">
        <w:trPr>
          <w:gridAfter w:val="1"/>
          <w:wAfter w:w="31" w:type="pct"/>
          <w:trHeight w:val="2691"/>
        </w:trPr>
        <w:tc>
          <w:tcPr>
            <w:tcW w:w="1911" w:type="pct"/>
            <w:gridSpan w:val="4"/>
            <w:vMerge/>
          </w:tcPr>
          <w:p w:rsidR="00CD6A6E" w:rsidRPr="00330E57" w:rsidRDefault="00CD6A6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:rsidR="00CD6A6E" w:rsidRPr="00330E57" w:rsidRDefault="00CD6A6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598" w:type="pct"/>
            <w:gridSpan w:val="4"/>
            <w:vAlign w:val="center"/>
          </w:tcPr>
          <w:p w:rsidR="00CD6A6E" w:rsidRDefault="00CD6A6E" w:rsidP="005923B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576E49" w:rsidRPr="00330E57" w:rsidRDefault="00576E49" w:rsidP="005923BA">
            <w:pPr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5923B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Propri</w:t>
            </w:r>
            <w:r w:rsidR="007B610E">
              <w:rPr>
                <w:rFonts w:ascii="Arial" w:hAnsi="Arial" w:cs="Arial"/>
                <w:sz w:val="20"/>
                <w:szCs w:val="20"/>
              </w:rPr>
              <w:t xml:space="preserve">edades periódicas dos elementos </w:t>
            </w:r>
            <w:r w:rsidRPr="00330E57">
              <w:rPr>
                <w:rFonts w:ascii="Arial" w:hAnsi="Arial" w:cs="Arial"/>
                <w:sz w:val="20"/>
                <w:szCs w:val="20"/>
              </w:rPr>
              <w:t>representativos.</w:t>
            </w:r>
          </w:p>
          <w:p w:rsidR="00CD6A6E" w:rsidRPr="00330E57" w:rsidRDefault="00CD6A6E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A6E" w:rsidRPr="00330E57" w:rsidTr="00B52EE8">
        <w:trPr>
          <w:gridAfter w:val="1"/>
          <w:wAfter w:w="31" w:type="pct"/>
          <w:trHeight w:val="1250"/>
        </w:trPr>
        <w:tc>
          <w:tcPr>
            <w:tcW w:w="1911" w:type="pct"/>
            <w:gridSpan w:val="4"/>
            <w:vMerge/>
          </w:tcPr>
          <w:p w:rsidR="00CD6A6E" w:rsidRPr="00330E57" w:rsidRDefault="00CD6A6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pct"/>
            <w:vAlign w:val="center"/>
          </w:tcPr>
          <w:p w:rsidR="00CD6A6E" w:rsidRPr="00330E57" w:rsidRDefault="00CD6A6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598" w:type="pct"/>
            <w:gridSpan w:val="4"/>
            <w:vAlign w:val="center"/>
          </w:tcPr>
          <w:p w:rsidR="00CD6A6E" w:rsidRDefault="00CD6A6E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Quest</w:t>
            </w:r>
            <w:r w:rsidR="00576E49">
              <w:rPr>
                <w:rFonts w:ascii="Arial" w:hAnsi="Arial" w:cs="Arial"/>
                <w:bCs/>
                <w:sz w:val="20"/>
                <w:szCs w:val="20"/>
              </w:rPr>
              <w:t>ão</w:t>
            </w: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-aula </w:t>
            </w:r>
            <w:r w:rsidR="000576B4">
              <w:rPr>
                <w:rFonts w:ascii="Arial" w:hAnsi="Arial" w:cs="Arial"/>
                <w:bCs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  <w:p w:rsidR="00576E49" w:rsidRPr="00330E57" w:rsidRDefault="00576E49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B52EE8" w:rsidRDefault="00CD6A6E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Tipos de ligações químicas. </w:t>
            </w:r>
          </w:p>
          <w:p w:rsidR="00576E49" w:rsidRDefault="00576E49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D6A6E" w:rsidRPr="00330E57" w:rsidRDefault="00CD6A6E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Energia de ligação.</w:t>
            </w:r>
          </w:p>
          <w:p w:rsidR="00CD6A6E" w:rsidRPr="00330E57" w:rsidRDefault="00CD6A6E" w:rsidP="00DC02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A6E" w:rsidRPr="00330E57" w:rsidTr="00B52EE8">
        <w:trPr>
          <w:gridBefore w:val="1"/>
          <w:wBefore w:w="171" w:type="pct"/>
          <w:trHeight w:val="77"/>
        </w:trPr>
        <w:tc>
          <w:tcPr>
            <w:tcW w:w="517" w:type="pct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139" w:type="pct"/>
            <w:gridSpan w:val="4"/>
            <w:vAlign w:val="center"/>
          </w:tcPr>
          <w:p w:rsidR="00CD6A6E" w:rsidRPr="00330E57" w:rsidRDefault="00CD6A6E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070" w:type="pct"/>
            <w:gridSpan w:val="2"/>
            <w:vAlign w:val="center"/>
          </w:tcPr>
          <w:p w:rsidR="00CD6A6E" w:rsidRPr="00330E57" w:rsidRDefault="00B52EE8" w:rsidP="00B52EE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</w:tc>
        <w:tc>
          <w:tcPr>
            <w:tcW w:w="1103" w:type="pct"/>
            <w:gridSpan w:val="2"/>
            <w:vAlign w:val="center"/>
          </w:tcPr>
          <w:p w:rsidR="00CD6A6E" w:rsidRPr="00330E57" w:rsidRDefault="00CD6A6E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CD6A6E" w:rsidRPr="00330E57" w:rsidTr="00B52EE8">
        <w:trPr>
          <w:gridBefore w:val="1"/>
          <w:wBefore w:w="171" w:type="pct"/>
          <w:trHeight w:val="1337"/>
        </w:trPr>
        <w:tc>
          <w:tcPr>
            <w:tcW w:w="517" w:type="pct"/>
            <w:vAlign w:val="center"/>
          </w:tcPr>
          <w:p w:rsidR="00CD6A6E" w:rsidRPr="00330E57" w:rsidRDefault="00CD6A6E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139" w:type="pct"/>
            <w:gridSpan w:val="4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Entregar e corrigir os testes reforçando os aspetos em que os alunos revelaram maiores dificuldades</w:t>
            </w:r>
          </w:p>
        </w:tc>
        <w:tc>
          <w:tcPr>
            <w:tcW w:w="1070" w:type="pct"/>
            <w:gridSpan w:val="2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correção do teste</w:t>
            </w:r>
          </w:p>
        </w:tc>
        <w:tc>
          <w:tcPr>
            <w:tcW w:w="1103" w:type="pct"/>
            <w:gridSpan w:val="2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A6E" w:rsidRPr="00330E57" w:rsidTr="00B52EE8">
        <w:trPr>
          <w:gridBefore w:val="1"/>
          <w:wBefore w:w="171" w:type="pct"/>
        </w:trPr>
        <w:tc>
          <w:tcPr>
            <w:tcW w:w="517" w:type="pct"/>
            <w:vAlign w:val="center"/>
          </w:tcPr>
          <w:p w:rsidR="00CD6A6E" w:rsidRPr="00330E57" w:rsidRDefault="00CD6A6E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139" w:type="pct"/>
            <w:gridSpan w:val="4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Aplicar o 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4 (sobre a </w:t>
            </w:r>
            <w:r w:rsidR="00576E49">
              <w:rPr>
                <w:rFonts w:ascii="Arial" w:hAnsi="Arial" w:cs="Arial"/>
                <w:sz w:val="20"/>
                <w:szCs w:val="20"/>
              </w:rPr>
              <w:t>A</w:t>
            </w:r>
            <w:r w:rsidRPr="00330E57">
              <w:rPr>
                <w:rFonts w:ascii="Arial" w:hAnsi="Arial" w:cs="Arial"/>
                <w:sz w:val="20"/>
                <w:szCs w:val="20"/>
              </w:rPr>
              <w:t>L 1.3)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raio atómico e energia de ionização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Comparar os raios atómicos e as energias de ionização de diferentes elementos ao longo de um grupo e de um período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Interpretar a variação do raio atómico e da energia de ionização ao longo de um grupo e de um período, e reforçar que esta</w:t>
            </w:r>
            <w:r w:rsidR="00B52EE8">
              <w:rPr>
                <w:rFonts w:ascii="Arial" w:hAnsi="Arial" w:cs="Arial"/>
                <w:sz w:val="20"/>
                <w:szCs w:val="20"/>
              </w:rPr>
              <w:t xml:space="preserve"> resulta dos mesmos fatores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Analisar a formação de iões de metais e não metais por</w:t>
            </w:r>
            <w:r w:rsidR="00B52EE8">
              <w:rPr>
                <w:rFonts w:ascii="Arial" w:hAnsi="Arial" w:cs="Arial"/>
                <w:sz w:val="20"/>
                <w:szCs w:val="20"/>
              </w:rPr>
              <w:t xml:space="preserve"> comparação com os gases nobres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Definir raio iónico e comparar o raio dos iões relativamente aos átomos que lhes dão origem e o </w:t>
            </w:r>
            <w:r w:rsidR="00B52EE8">
              <w:rPr>
                <w:rFonts w:ascii="Arial" w:hAnsi="Arial" w:cs="Arial"/>
                <w:sz w:val="20"/>
                <w:szCs w:val="20"/>
              </w:rPr>
              <w:t>raio de espécies isoeletrónicas</w:t>
            </w:r>
          </w:p>
          <w:p w:rsidR="00CD6A6E" w:rsidRPr="00330E57" w:rsidRDefault="00CD6A6E" w:rsidP="00CD6A6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e d</w:t>
            </w:r>
            <w:r w:rsidR="00B52EE8">
              <w:rPr>
                <w:rFonts w:ascii="Arial" w:hAnsi="Arial" w:cs="Arial"/>
                <w:sz w:val="20"/>
                <w:szCs w:val="20"/>
              </w:rPr>
              <w:t>e consolidação do 3.º subdomínio</w:t>
            </w:r>
          </w:p>
          <w:p w:rsidR="00CD6A6E" w:rsidRPr="00330E57" w:rsidRDefault="00CD6A6E" w:rsidP="00B52E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Fazer uma súmula do 3</w:t>
            </w:r>
            <w:r w:rsidR="00B52EE8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B52EE8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>ubdomínio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101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="00B52EE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70" w:type="pct"/>
            <w:gridSpan w:val="2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B52EE8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 xml:space="preserve">91 </w:t>
            </w:r>
            <w:proofErr w:type="gramStart"/>
            <w:r w:rsidR="00CD6A6E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CD6A6E" w:rsidRPr="00330E57">
              <w:rPr>
                <w:rFonts w:ascii="Arial" w:hAnsi="Arial" w:cs="Arial"/>
                <w:sz w:val="20"/>
                <w:szCs w:val="20"/>
              </w:rPr>
              <w:t xml:space="preserve"> 99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B24BE5" w:rsidP="00B24BE5">
            <w:pPr>
              <w:rPr>
                <w:rFonts w:ascii="Arial" w:hAnsi="Arial" w:cs="Arial"/>
                <w:sz w:val="20"/>
                <w:szCs w:val="20"/>
              </w:rPr>
            </w:pPr>
            <w:r w:rsidRPr="00B24BE5">
              <w:rPr>
                <w:rFonts w:ascii="Arial" w:hAnsi="Arial" w:cs="Arial"/>
                <w:i/>
                <w:sz w:val="20"/>
                <w:szCs w:val="20"/>
              </w:rPr>
              <w:t xml:space="preserve">Saber </w:t>
            </w:r>
            <w:proofErr w:type="gramStart"/>
            <w:r w:rsidRPr="00B24BE5">
              <w:rPr>
                <w:rFonts w:ascii="Arial" w:hAnsi="Arial" w:cs="Arial"/>
                <w:i/>
                <w:sz w:val="20"/>
                <w:szCs w:val="20"/>
              </w:rPr>
              <w:t>Mais</w:t>
            </w:r>
            <w:r w:rsidR="00576E49">
              <w:rPr>
                <w:rFonts w:ascii="Arial" w:hAnsi="Arial" w:cs="Arial"/>
                <w:i/>
                <w:sz w:val="20"/>
                <w:szCs w:val="20"/>
              </w:rPr>
              <w:t>!</w:t>
            </w:r>
            <w:proofErr w:type="gramEnd"/>
            <w:r w:rsidR="00CD6A6E" w:rsidRPr="00330E57">
              <w:rPr>
                <w:rFonts w:ascii="Arial" w:hAnsi="Arial" w:cs="Arial"/>
                <w:sz w:val="20"/>
                <w:szCs w:val="20"/>
              </w:rPr>
              <w:t>: Efeito de blindagem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 xml:space="preserve"> 95)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3" w:type="pct"/>
            <w:gridSpan w:val="2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13 a 18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103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>, exercícios 10 a 21</w:t>
            </w:r>
          </w:p>
        </w:tc>
        <w:bookmarkStart w:id="0" w:name="_GoBack"/>
        <w:bookmarkEnd w:id="0"/>
      </w:tr>
      <w:tr w:rsidR="00CD6A6E" w:rsidRPr="00330E57" w:rsidTr="00B52EE8">
        <w:trPr>
          <w:gridBefore w:val="1"/>
          <w:wBefore w:w="171" w:type="pct"/>
          <w:trHeight w:val="1250"/>
        </w:trPr>
        <w:tc>
          <w:tcPr>
            <w:tcW w:w="517" w:type="pct"/>
            <w:vAlign w:val="center"/>
          </w:tcPr>
          <w:p w:rsidR="00CD6A6E" w:rsidRPr="00330E57" w:rsidRDefault="00CD6A6E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139" w:type="pct"/>
            <w:gridSpan w:val="4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Resolver a </w:t>
            </w:r>
            <w:r w:rsidR="00576E49" w:rsidRPr="00330E57">
              <w:rPr>
                <w:rFonts w:ascii="Arial" w:hAnsi="Arial" w:cs="Arial"/>
                <w:bCs/>
                <w:sz w:val="20"/>
                <w:szCs w:val="20"/>
              </w:rPr>
              <w:t>Quest</w:t>
            </w:r>
            <w:r w:rsidR="00576E49">
              <w:rPr>
                <w:rFonts w:ascii="Arial" w:hAnsi="Arial" w:cs="Arial"/>
                <w:bCs/>
                <w:sz w:val="20"/>
                <w:szCs w:val="20"/>
              </w:rPr>
              <w:t>ão</w:t>
            </w:r>
            <w:r w:rsidR="00576E49" w:rsidRPr="00330E57">
              <w:rPr>
                <w:rFonts w:ascii="Arial" w:hAnsi="Arial" w:cs="Arial"/>
                <w:bCs/>
                <w:sz w:val="20"/>
                <w:szCs w:val="20"/>
              </w:rPr>
              <w:t xml:space="preserve">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Recordar conceitos prévios referidos no 3</w:t>
            </w:r>
            <w:r w:rsidR="00B52EE8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B52EE8">
              <w:rPr>
                <w:rFonts w:ascii="Arial" w:hAnsi="Arial" w:cs="Arial"/>
                <w:sz w:val="20"/>
                <w:szCs w:val="20"/>
              </w:rPr>
              <w:t>C</w:t>
            </w:r>
            <w:r w:rsidRPr="00330E57">
              <w:rPr>
                <w:rFonts w:ascii="Arial" w:hAnsi="Arial" w:cs="Arial"/>
                <w:sz w:val="20"/>
                <w:szCs w:val="20"/>
              </w:rPr>
              <w:t>iclo (pág.</w:t>
            </w:r>
            <w:r w:rsidR="00B52E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131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Justificar a formação de ligações químicas pela maior estabilidade adquirida pelos átomos envolvidos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energia de ligação e comprimento de ligação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Caracterizar os tipos de ligação químic</w:t>
            </w:r>
            <w:r w:rsidR="00B52EE8">
              <w:rPr>
                <w:rFonts w:ascii="Arial" w:hAnsi="Arial" w:cs="Arial"/>
                <w:sz w:val="20"/>
                <w:szCs w:val="20"/>
              </w:rPr>
              <w:t>a: iónica, covalente e metálica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gridSpan w:val="2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576E4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Quest</w:t>
            </w:r>
            <w:r>
              <w:rPr>
                <w:rFonts w:ascii="Arial" w:hAnsi="Arial" w:cs="Arial"/>
                <w:bCs/>
                <w:sz w:val="20"/>
                <w:szCs w:val="20"/>
              </w:rPr>
              <w:t>ão</w:t>
            </w: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B52EE8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 xml:space="preserve">131 </w:t>
            </w:r>
            <w:proofErr w:type="gramStart"/>
            <w:r w:rsidR="00CD6A6E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CD6A6E" w:rsidRPr="00330E57">
              <w:rPr>
                <w:rFonts w:ascii="Arial" w:hAnsi="Arial" w:cs="Arial"/>
                <w:sz w:val="20"/>
                <w:szCs w:val="20"/>
              </w:rPr>
              <w:t xml:space="preserve"> 138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3" w:type="pct"/>
            <w:gridSpan w:val="2"/>
          </w:tcPr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 a 3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178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EE3840" w:rsidRPr="00330E57">
              <w:rPr>
                <w:rFonts w:ascii="Arial" w:hAnsi="Arial" w:cs="Arial"/>
                <w:sz w:val="20"/>
                <w:szCs w:val="20"/>
              </w:rPr>
              <w:t>, exercícios 1 a 4</w:t>
            </w:r>
          </w:p>
          <w:p w:rsidR="00CD6A6E" w:rsidRPr="00330E57" w:rsidRDefault="00CD6A6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A6E" w:rsidRPr="00330E57" w:rsidTr="00B52EE8">
        <w:trPr>
          <w:gridBefore w:val="1"/>
          <w:wBefore w:w="171" w:type="pct"/>
        </w:trPr>
        <w:tc>
          <w:tcPr>
            <w:tcW w:w="1357" w:type="pct"/>
            <w:gridSpan w:val="2"/>
            <w:vAlign w:val="center"/>
          </w:tcPr>
          <w:p w:rsidR="00CD6A6E" w:rsidRPr="00330E57" w:rsidRDefault="00CD6A6E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71" w:type="pct"/>
            <w:gridSpan w:val="7"/>
          </w:tcPr>
          <w:p w:rsidR="00CD6A6E" w:rsidRPr="00330E57" w:rsidRDefault="00CD6A6E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CD6A6E" w:rsidRPr="00330E57" w:rsidRDefault="00576E49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Questão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 xml:space="preserve">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CD6A6E" w:rsidRPr="00330E57" w:rsidRDefault="00CD6A6E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A6E" w:rsidRPr="00330E57" w:rsidTr="00B52EE8">
        <w:trPr>
          <w:gridBefore w:val="1"/>
          <w:wBefore w:w="171" w:type="pct"/>
        </w:trPr>
        <w:tc>
          <w:tcPr>
            <w:tcW w:w="1357" w:type="pct"/>
            <w:gridSpan w:val="2"/>
            <w:vAlign w:val="center"/>
          </w:tcPr>
          <w:p w:rsidR="00CD6A6E" w:rsidRPr="00330E57" w:rsidRDefault="00CD6A6E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71" w:type="pct"/>
            <w:gridSpan w:val="7"/>
          </w:tcPr>
          <w:p w:rsidR="00CD6A6E" w:rsidRPr="00330E57" w:rsidRDefault="00CD6A6E" w:rsidP="00CD6A6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6A6E" w:rsidRPr="00330E57" w:rsidRDefault="00CD6A6E" w:rsidP="00CD6A6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Para consolidação do </w:t>
            </w:r>
            <w:r w:rsidR="008D4F31" w:rsidRPr="00330E57">
              <w:rPr>
                <w:rFonts w:ascii="Arial" w:hAnsi="Arial" w:cs="Arial"/>
                <w:sz w:val="20"/>
                <w:szCs w:val="20"/>
              </w:rPr>
              <w:t>3</w:t>
            </w:r>
            <w:r w:rsidR="00B52EE8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B52EE8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ubdomínio, sugere-se ainda a realização dos exercícios 33 a 49 das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B52EE8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125 a 127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D6A6E" w:rsidRPr="00330E57" w:rsidRDefault="00CD6A6E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D6A6E" w:rsidRPr="00330E57" w:rsidRDefault="00CD6A6E">
      <w:pPr>
        <w:rPr>
          <w:rFonts w:ascii="Arial" w:hAnsi="Arial" w:cs="Arial"/>
          <w:b/>
          <w:sz w:val="28"/>
          <w:szCs w:val="28"/>
        </w:rPr>
      </w:pPr>
    </w:p>
    <w:sectPr w:rsidR="00CD6A6E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76E49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AAAF8-1510-411B-BDA3-6D1E4A431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2015-05-15T11:21:00Z</dcterms:modified>
</cp:coreProperties>
</file>