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D2E" w:rsidRDefault="00B36D2E" w:rsidP="007B41A7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B36D2E" w:rsidRDefault="00B36D2E" w:rsidP="007B41A7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B36D2E" w:rsidRDefault="00B36D2E" w:rsidP="007B41A7">
      <w:pPr>
        <w:spacing w:after="200" w:line="276" w:lineRule="auto"/>
        <w:jc w:val="center"/>
        <w:rPr>
          <w:rFonts w:ascii="Arial" w:hAnsi="Arial" w:cs="Arial"/>
          <w:b/>
          <w:sz w:val="96"/>
          <w:szCs w:val="96"/>
          <w:lang w:val="pt-BR"/>
        </w:rPr>
      </w:pPr>
    </w:p>
    <w:p w:rsidR="007B41A7" w:rsidRPr="00AB2F84" w:rsidRDefault="007B41A7" w:rsidP="007B41A7">
      <w:pPr>
        <w:spacing w:after="200" w:line="276" w:lineRule="auto"/>
        <w:jc w:val="center"/>
        <w:rPr>
          <w:sz w:val="96"/>
          <w:szCs w:val="96"/>
        </w:rPr>
      </w:pPr>
      <w:r>
        <w:rPr>
          <w:rFonts w:ascii="Arial" w:hAnsi="Arial" w:cs="Arial"/>
          <w:b/>
          <w:sz w:val="96"/>
          <w:szCs w:val="96"/>
          <w:lang w:val="pt-BR"/>
        </w:rPr>
        <w:t>Documentos base</w:t>
      </w:r>
      <w:bookmarkStart w:id="0" w:name="_GoBack"/>
      <w:bookmarkEnd w:id="0"/>
      <w:r w:rsidRPr="00AB2F84">
        <w:rPr>
          <w:sz w:val="96"/>
          <w:szCs w:val="96"/>
        </w:rPr>
        <w:br w:type="page"/>
      </w:r>
    </w:p>
    <w:p w:rsidR="007B41A7" w:rsidRPr="00E84CF7" w:rsidRDefault="007B41A7" w:rsidP="007B41A7">
      <w:pPr>
        <w:spacing w:after="200" w:line="276" w:lineRule="auto"/>
        <w:rPr>
          <w:rFonts w:ascii="Arial" w:hAnsi="Arial" w:cs="Arial"/>
          <w:b/>
          <w:bCs/>
          <w:sz w:val="28"/>
          <w:szCs w:val="28"/>
        </w:rPr>
      </w:pPr>
      <w:r w:rsidRPr="00E84CF7">
        <w:rPr>
          <w:rFonts w:ascii="Arial" w:hAnsi="Arial" w:cs="Arial"/>
          <w:b/>
          <w:bCs/>
          <w:sz w:val="28"/>
          <w:szCs w:val="28"/>
        </w:rPr>
        <w:lastRenderedPageBreak/>
        <w:t>1. Introdução</w:t>
      </w:r>
    </w:p>
    <w:p w:rsidR="007B41A7" w:rsidRPr="00E84CF7" w:rsidRDefault="007B41A7" w:rsidP="007B41A7">
      <w:pPr>
        <w:spacing w:line="276" w:lineRule="auto"/>
        <w:jc w:val="both"/>
        <w:rPr>
          <w:rFonts w:ascii="Arial" w:hAnsi="Arial" w:cs="Arial"/>
          <w:bCs/>
        </w:rPr>
      </w:pPr>
      <w:bookmarkStart w:id="1" w:name="programas"/>
      <w:bookmarkEnd w:id="1"/>
      <w:r w:rsidRPr="00E84CF7">
        <w:rPr>
          <w:rFonts w:ascii="Arial" w:hAnsi="Arial" w:cs="Arial"/>
          <w:bCs/>
        </w:rPr>
        <w:t>De acordo com a Portaria n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243/2012, de 10 de agosto, a disciplina de </w:t>
      </w:r>
      <w:r w:rsidRPr="00331B1B">
        <w:rPr>
          <w:rFonts w:ascii="Arial" w:hAnsi="Arial" w:cs="Arial"/>
          <w:b/>
          <w:bCs/>
        </w:rPr>
        <w:t>Física e Química A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faz parte da componente específica do Curso cient</w:t>
      </w:r>
      <w:r>
        <w:rPr>
          <w:rFonts w:ascii="Arial" w:hAnsi="Arial" w:cs="Arial"/>
          <w:bCs/>
        </w:rPr>
        <w:t>í</w:t>
      </w:r>
      <w:r w:rsidRPr="00E84CF7">
        <w:rPr>
          <w:rFonts w:ascii="Arial" w:hAnsi="Arial" w:cs="Arial"/>
          <w:bCs/>
        </w:rPr>
        <w:t>fico-human</w:t>
      </w:r>
      <w:r>
        <w:rPr>
          <w:rFonts w:ascii="Arial" w:hAnsi="Arial" w:cs="Arial"/>
          <w:bCs/>
        </w:rPr>
        <w:t>í</w:t>
      </w:r>
      <w:r w:rsidRPr="00E84CF7">
        <w:rPr>
          <w:rFonts w:ascii="Arial" w:hAnsi="Arial" w:cs="Arial"/>
          <w:bCs/>
        </w:rPr>
        <w:t>stico de Ciências e Tecnologias.</w:t>
      </w:r>
    </w:p>
    <w:p w:rsidR="007B41A7" w:rsidRPr="00E84CF7" w:rsidRDefault="007B41A7" w:rsidP="007B41A7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É</w:t>
      </w:r>
      <w:r w:rsidRPr="00E84CF7">
        <w:rPr>
          <w:rFonts w:ascii="Arial" w:hAnsi="Arial" w:cs="Arial"/>
          <w:bCs/>
        </w:rPr>
        <w:t xml:space="preserve"> uma disciplina bienal (10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e 11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ano), d</w:t>
      </w:r>
      <w:r>
        <w:rPr>
          <w:rFonts w:ascii="Arial" w:hAnsi="Arial" w:cs="Arial"/>
          <w:bCs/>
        </w:rPr>
        <w:t>á</w:t>
      </w:r>
      <w:r w:rsidRPr="00E84CF7">
        <w:rPr>
          <w:rFonts w:ascii="Arial" w:hAnsi="Arial" w:cs="Arial"/>
          <w:bCs/>
        </w:rPr>
        <w:t xml:space="preserve"> continuidade a disciplina de Físico-</w:t>
      </w:r>
      <w:r>
        <w:rPr>
          <w:rFonts w:ascii="Arial" w:hAnsi="Arial" w:cs="Arial"/>
          <w:bCs/>
        </w:rPr>
        <w:t>Q</w:t>
      </w:r>
      <w:r w:rsidRPr="00E84CF7">
        <w:rPr>
          <w:rFonts w:ascii="Arial" w:hAnsi="Arial" w:cs="Arial"/>
          <w:bCs/>
        </w:rPr>
        <w:t>uímica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(Ciências Físico-</w:t>
      </w:r>
      <w:r>
        <w:rPr>
          <w:rFonts w:ascii="Arial" w:hAnsi="Arial" w:cs="Arial"/>
          <w:bCs/>
        </w:rPr>
        <w:t>Q</w:t>
      </w:r>
      <w:r w:rsidRPr="00E84CF7">
        <w:rPr>
          <w:rFonts w:ascii="Arial" w:hAnsi="Arial" w:cs="Arial"/>
          <w:bCs/>
        </w:rPr>
        <w:t>uímicas) do Ensino Básico (7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>, 8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e 9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anos) e constitui precedência em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 xml:space="preserve">relação </w:t>
      </w:r>
      <w:r>
        <w:rPr>
          <w:rFonts w:ascii="Arial" w:hAnsi="Arial" w:cs="Arial"/>
          <w:bCs/>
        </w:rPr>
        <w:t>às</w:t>
      </w:r>
      <w:r w:rsidRPr="00E84CF7">
        <w:rPr>
          <w:rFonts w:ascii="Arial" w:hAnsi="Arial" w:cs="Arial"/>
          <w:bCs/>
        </w:rPr>
        <w:t xml:space="preserve"> disciplinas de Física e de Química do 12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ano.</w:t>
      </w:r>
    </w:p>
    <w:p w:rsidR="007B41A7" w:rsidRPr="00E84CF7" w:rsidRDefault="007B41A7" w:rsidP="007B41A7">
      <w:pPr>
        <w:spacing w:line="276" w:lineRule="auto"/>
        <w:jc w:val="both"/>
        <w:rPr>
          <w:rFonts w:ascii="Arial" w:hAnsi="Arial" w:cs="Arial"/>
          <w:bCs/>
        </w:rPr>
      </w:pPr>
      <w:r w:rsidRPr="00E84CF7">
        <w:rPr>
          <w:rFonts w:ascii="Arial" w:hAnsi="Arial" w:cs="Arial"/>
          <w:bCs/>
        </w:rPr>
        <w:t>O Programa desta disciplina est</w:t>
      </w:r>
      <w:r>
        <w:rPr>
          <w:rFonts w:ascii="Arial" w:hAnsi="Arial" w:cs="Arial"/>
          <w:bCs/>
        </w:rPr>
        <w:t>á</w:t>
      </w:r>
      <w:r w:rsidRPr="00E84CF7">
        <w:rPr>
          <w:rFonts w:ascii="Arial" w:hAnsi="Arial" w:cs="Arial"/>
          <w:bCs/>
        </w:rPr>
        <w:t xml:space="preserve"> elaborado atendendo a uma carga letiva semanal </w:t>
      </w:r>
      <w:r>
        <w:rPr>
          <w:rFonts w:ascii="Arial" w:hAnsi="Arial" w:cs="Arial"/>
          <w:bCs/>
        </w:rPr>
        <w:t xml:space="preserve">mínima </w:t>
      </w:r>
      <w:r w:rsidRPr="00E84CF7">
        <w:rPr>
          <w:rFonts w:ascii="Arial" w:hAnsi="Arial" w:cs="Arial"/>
          <w:bCs/>
        </w:rPr>
        <w:t>de 315 minutos, sendo a aula de maior duração dedicada a atividades pr</w:t>
      </w:r>
      <w:r>
        <w:rPr>
          <w:rFonts w:ascii="Arial" w:hAnsi="Arial" w:cs="Arial"/>
          <w:bCs/>
        </w:rPr>
        <w:t>á</w:t>
      </w:r>
      <w:r w:rsidRPr="00E84CF7">
        <w:rPr>
          <w:rFonts w:ascii="Arial" w:hAnsi="Arial" w:cs="Arial"/>
          <w:bCs/>
        </w:rPr>
        <w:t>ticas e laboratoriais.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Nesta aula, com a duração máxima de 150 minutos, a turma deve funcionar desdobrada.</w:t>
      </w:r>
    </w:p>
    <w:p w:rsidR="007B41A7" w:rsidRDefault="007B41A7" w:rsidP="007B41A7">
      <w:pPr>
        <w:spacing w:line="276" w:lineRule="auto"/>
        <w:jc w:val="both"/>
        <w:rPr>
          <w:rFonts w:ascii="Arial" w:hAnsi="Arial" w:cs="Arial"/>
          <w:bCs/>
        </w:rPr>
      </w:pPr>
      <w:r w:rsidRPr="00E84CF7">
        <w:rPr>
          <w:rFonts w:ascii="Arial" w:hAnsi="Arial" w:cs="Arial"/>
          <w:bCs/>
        </w:rPr>
        <w:t xml:space="preserve">Cada uma das componentes, Física e Química, </w:t>
      </w:r>
      <w:r>
        <w:rPr>
          <w:rFonts w:ascii="Arial" w:hAnsi="Arial" w:cs="Arial"/>
          <w:bCs/>
        </w:rPr>
        <w:t>é</w:t>
      </w:r>
      <w:r w:rsidRPr="00E84CF7">
        <w:rPr>
          <w:rFonts w:ascii="Arial" w:hAnsi="Arial" w:cs="Arial"/>
          <w:bCs/>
        </w:rPr>
        <w:t xml:space="preserve"> lecionada em metade do ano letivo,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alternando-se a ordem de leciona</w:t>
      </w:r>
      <w:r>
        <w:rPr>
          <w:rFonts w:ascii="Arial" w:hAnsi="Arial" w:cs="Arial"/>
          <w:bCs/>
        </w:rPr>
        <w:t>çã</w:t>
      </w:r>
      <w:r w:rsidRPr="00E84CF7">
        <w:rPr>
          <w:rFonts w:ascii="Arial" w:hAnsi="Arial" w:cs="Arial"/>
          <w:bCs/>
        </w:rPr>
        <w:t>o nos dois anos – o 10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ano inicia-se com a componente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de Química e o 11</w:t>
      </w:r>
      <w:r>
        <w:rPr>
          <w:rFonts w:ascii="Arial" w:hAnsi="Arial" w:cs="Arial"/>
          <w:bCs/>
        </w:rPr>
        <w:t>.º</w:t>
      </w:r>
      <w:r w:rsidRPr="00E84CF7">
        <w:rPr>
          <w:rFonts w:ascii="Arial" w:hAnsi="Arial" w:cs="Arial"/>
          <w:bCs/>
        </w:rPr>
        <w:t xml:space="preserve"> ano com a componente de Física – de modo a haver uma melhor</w:t>
      </w:r>
      <w:r>
        <w:rPr>
          <w:rFonts w:ascii="Arial" w:hAnsi="Arial" w:cs="Arial"/>
          <w:bCs/>
        </w:rPr>
        <w:t xml:space="preserve"> </w:t>
      </w:r>
      <w:r w:rsidRPr="00E84CF7">
        <w:rPr>
          <w:rFonts w:ascii="Arial" w:hAnsi="Arial" w:cs="Arial"/>
          <w:bCs/>
        </w:rPr>
        <w:t>rendibilização dos recursos, designadamente os referentes a componente laboratorial.</w:t>
      </w:r>
    </w:p>
    <w:p w:rsidR="007B41A7" w:rsidRPr="00E84CF7" w:rsidRDefault="007B41A7" w:rsidP="007B41A7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lang w:val="pt-BR"/>
        </w:rPr>
        <w:br w:type="page"/>
      </w:r>
      <w:r w:rsidRPr="00E84CF7">
        <w:rPr>
          <w:rFonts w:ascii="Arial" w:eastAsiaTheme="minorHAnsi" w:hAnsi="Arial" w:cs="Arial"/>
          <w:b/>
          <w:bCs/>
          <w:sz w:val="28"/>
          <w:szCs w:val="28"/>
        </w:rPr>
        <w:lastRenderedPageBreak/>
        <w:t>2. Finalidades e objetivos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A disciplina “visa proporcionar formação</w:t>
      </w:r>
      <w:r>
        <w:rPr>
          <w:rFonts w:ascii="Arial" w:eastAsiaTheme="minorHAnsi" w:hAnsi="Arial" w:cs="Arial"/>
        </w:rPr>
        <w:t xml:space="preserve"> cientí</w:t>
      </w:r>
      <w:r w:rsidRPr="00E84CF7">
        <w:rPr>
          <w:rFonts w:ascii="Arial" w:eastAsiaTheme="minorHAnsi" w:hAnsi="Arial" w:cs="Arial"/>
        </w:rPr>
        <w:t>fica consistente no domínio do respetivo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curso” (Portaria n</w:t>
      </w:r>
      <w:r>
        <w:rPr>
          <w:rFonts w:ascii="Arial" w:eastAsiaTheme="minorHAnsi" w:hAnsi="Arial" w:cs="Arial"/>
        </w:rPr>
        <w:t>.º</w:t>
      </w:r>
      <w:r w:rsidRPr="00E84CF7">
        <w:rPr>
          <w:rFonts w:ascii="Arial" w:eastAsiaTheme="minorHAnsi" w:hAnsi="Arial" w:cs="Arial"/>
        </w:rPr>
        <w:t xml:space="preserve"> 243/2012). Por isso, definem-se como finalidades desta disciplina: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Proporcionar aos alunos uma base sólida de capacidades e de conhecimentos da física e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 xml:space="preserve">da química, e dos valores da ciência, que lhes permitam distinguir alegações científicas de </w:t>
      </w:r>
      <w:r>
        <w:rPr>
          <w:rFonts w:ascii="Arial" w:eastAsiaTheme="minorHAnsi" w:hAnsi="Arial" w:cs="Arial"/>
        </w:rPr>
        <w:t xml:space="preserve">não </w:t>
      </w:r>
      <w:r w:rsidRPr="00E84CF7">
        <w:rPr>
          <w:rFonts w:ascii="Arial" w:eastAsiaTheme="minorHAnsi" w:hAnsi="Arial" w:cs="Arial"/>
        </w:rPr>
        <w:t>cientificas, especular e envolver-se em comunicações de e sobre ciência, questionar e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investigar, extraindo conclusões e tomando decisões, em bases científicas, procurando sempre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um maior bem-estar social.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Promover o reconhecimento da importância da física e da química na compreensão do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mundo natural e na descrição, explicação e previsão dos seus múltiplos fenómenos, assim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como no desenvolvimento tecnológico e na qualidade de vida dos cidadãos em sociedade.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Contribuir para o aumento do conhecimento científico necessário ao prosseguimento de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estudos e para uma escolha fundamentada da área desses estudos.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De modo a atingir estas finalidades, definem-se como objetivos gerais da disciplina: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Consolidar, aprofundar e ampliar conhecimentos através da compreensão de conceitos,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 xml:space="preserve">leis e teorias que descrevem, explicam e </w:t>
      </w:r>
      <w:r w:rsidR="002A47E2" w:rsidRPr="00E84CF7">
        <w:rPr>
          <w:rFonts w:ascii="Arial" w:eastAsiaTheme="minorHAnsi" w:hAnsi="Arial" w:cs="Arial"/>
        </w:rPr>
        <w:t>preveem</w:t>
      </w:r>
      <w:r w:rsidRPr="00E84CF7">
        <w:rPr>
          <w:rFonts w:ascii="Arial" w:eastAsiaTheme="minorHAnsi" w:hAnsi="Arial" w:cs="Arial"/>
        </w:rPr>
        <w:t xml:space="preserve"> fenómenos assim como fundamentam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aplicações.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Desenvolver hábitos e capacidades inerentes ao trabalho científico: observação, pesquisa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de informação, experimentação, abstração, generalização, previsão, espírito cr</w:t>
      </w:r>
      <w:r>
        <w:rPr>
          <w:rFonts w:ascii="Arial" w:eastAsiaTheme="minorHAnsi" w:hAnsi="Arial" w:cs="Arial"/>
        </w:rPr>
        <w:t>í</w:t>
      </w:r>
      <w:r w:rsidRPr="00E84CF7">
        <w:rPr>
          <w:rFonts w:ascii="Arial" w:eastAsiaTheme="minorHAnsi" w:hAnsi="Arial" w:cs="Arial"/>
        </w:rPr>
        <w:t>tico, resolução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de problemas e comunicação de ideias e resultados nas formas escrita e oral.</w:t>
      </w:r>
    </w:p>
    <w:p w:rsidR="007B41A7" w:rsidRPr="00E84CF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Desenvolver as capacidades de reconhecer, interpretar e produzir representações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variadas da informação científica e do resultado das aprendizagens: relatórios, esquemas e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diagramas, gráficos, tabelas, equações, modelos e simulações computacionais.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E84CF7">
        <w:rPr>
          <w:rFonts w:ascii="Arial" w:eastAsiaTheme="minorHAnsi" w:hAnsi="Arial" w:cs="Arial"/>
        </w:rPr>
        <w:t>- Destacar o modo como o conhecimento científico e construído, validado e transmitido</w:t>
      </w:r>
      <w:r>
        <w:rPr>
          <w:rFonts w:ascii="Arial" w:eastAsiaTheme="minorHAnsi" w:hAnsi="Arial" w:cs="Arial"/>
        </w:rPr>
        <w:t xml:space="preserve"> </w:t>
      </w:r>
      <w:r w:rsidRPr="00E84CF7">
        <w:rPr>
          <w:rFonts w:ascii="Arial" w:eastAsiaTheme="minorHAnsi" w:hAnsi="Arial" w:cs="Arial"/>
        </w:rPr>
        <w:t>pela comunidade cient</w:t>
      </w:r>
      <w:r>
        <w:rPr>
          <w:rFonts w:ascii="Arial" w:eastAsiaTheme="minorHAnsi" w:hAnsi="Arial" w:cs="Arial"/>
        </w:rPr>
        <w:t>í</w:t>
      </w:r>
      <w:r w:rsidRPr="00E84CF7">
        <w:rPr>
          <w:rFonts w:ascii="Arial" w:eastAsiaTheme="minorHAnsi" w:hAnsi="Arial" w:cs="Arial"/>
        </w:rPr>
        <w:t>fica.</w:t>
      </w:r>
    </w:p>
    <w:p w:rsidR="007B41A7" w:rsidRDefault="007B41A7" w:rsidP="007B41A7">
      <w:pPr>
        <w:spacing w:after="200" w:line="276" w:lineRule="auto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br w:type="page"/>
      </w:r>
    </w:p>
    <w:p w:rsidR="007B41A7" w:rsidRPr="001120D5" w:rsidRDefault="007B41A7" w:rsidP="007B41A7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Theme="minorHAnsi" w:hAnsi="Arial" w:cs="Arial"/>
          <w:b/>
          <w:bCs/>
          <w:sz w:val="28"/>
          <w:szCs w:val="28"/>
        </w:rPr>
      </w:pPr>
      <w:r w:rsidRPr="001120D5">
        <w:rPr>
          <w:rFonts w:ascii="Arial" w:eastAsiaTheme="minorHAnsi" w:hAnsi="Arial" w:cs="Arial"/>
          <w:b/>
          <w:bCs/>
          <w:sz w:val="28"/>
          <w:szCs w:val="28"/>
        </w:rPr>
        <w:lastRenderedPageBreak/>
        <w:t>3. Organização dos conteúdos</w:t>
      </w:r>
    </w:p>
    <w:p w:rsidR="007B41A7" w:rsidRPr="001120D5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1120D5">
        <w:rPr>
          <w:rFonts w:ascii="Arial" w:eastAsiaTheme="minorHAnsi" w:hAnsi="Arial" w:cs="Arial"/>
        </w:rPr>
        <w:t>Os conteúdos, em cada ano e em cada componente, estão organizados por domínios e</w:t>
      </w:r>
      <w:r>
        <w:rPr>
          <w:rFonts w:ascii="Arial" w:eastAsiaTheme="minorHAnsi" w:hAnsi="Arial" w:cs="Arial"/>
        </w:rPr>
        <w:t xml:space="preserve"> </w:t>
      </w:r>
      <w:r w:rsidRPr="001120D5">
        <w:rPr>
          <w:rFonts w:ascii="Arial" w:eastAsiaTheme="minorHAnsi" w:hAnsi="Arial" w:cs="Arial"/>
        </w:rPr>
        <w:t>subdomínios que se referem a temas da física e da química, sendo considerados estruturantes</w:t>
      </w:r>
      <w:r>
        <w:rPr>
          <w:rFonts w:ascii="Arial" w:eastAsiaTheme="minorHAnsi" w:hAnsi="Arial" w:cs="Arial"/>
        </w:rPr>
        <w:t xml:space="preserve"> </w:t>
      </w:r>
      <w:r w:rsidRPr="001120D5">
        <w:rPr>
          <w:rFonts w:ascii="Arial" w:eastAsiaTheme="minorHAnsi" w:hAnsi="Arial" w:cs="Arial"/>
        </w:rPr>
        <w:t>para a formação científica e prosseguimento de estudos, permitindo a consolidação,</w:t>
      </w:r>
      <w:r>
        <w:rPr>
          <w:rFonts w:ascii="Arial" w:eastAsiaTheme="minorHAnsi" w:hAnsi="Arial" w:cs="Arial"/>
        </w:rPr>
        <w:t xml:space="preserve"> </w:t>
      </w:r>
      <w:r w:rsidRPr="001120D5">
        <w:rPr>
          <w:rFonts w:ascii="Arial" w:eastAsiaTheme="minorHAnsi" w:hAnsi="Arial" w:cs="Arial"/>
        </w:rPr>
        <w:t>aprofundamento e extensão dos estudos realizados no 3</w:t>
      </w:r>
      <w:r>
        <w:rPr>
          <w:rFonts w:ascii="Arial" w:eastAsiaTheme="minorHAnsi" w:hAnsi="Arial" w:cs="Arial"/>
        </w:rPr>
        <w:t>.º</w:t>
      </w:r>
      <w:r w:rsidRPr="001120D5">
        <w:rPr>
          <w:rFonts w:ascii="Arial" w:eastAsiaTheme="minorHAnsi" w:hAnsi="Arial" w:cs="Arial"/>
        </w:rPr>
        <w:t xml:space="preserve"> ciclo do ensino básico.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1120D5">
        <w:rPr>
          <w:rFonts w:ascii="Arial" w:eastAsiaTheme="minorHAnsi" w:hAnsi="Arial" w:cs="Arial"/>
        </w:rPr>
        <w:t>O quadro seguinte mostra a organização dos domínios e subdomínios por ano de</w:t>
      </w:r>
      <w:r>
        <w:rPr>
          <w:rFonts w:ascii="Arial" w:eastAsiaTheme="minorHAnsi" w:hAnsi="Arial" w:cs="Arial"/>
        </w:rPr>
        <w:t xml:space="preserve"> </w:t>
      </w:r>
      <w:r w:rsidRPr="001120D5">
        <w:rPr>
          <w:rFonts w:ascii="Arial" w:eastAsiaTheme="minorHAnsi" w:hAnsi="Arial" w:cs="Arial"/>
        </w:rPr>
        <w:t>escolaridade e componente (Física ou Química).</w:t>
      </w:r>
    </w:p>
    <w:p w:rsidR="00E71857" w:rsidRDefault="00E7185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65"/>
        <w:gridCol w:w="2166"/>
        <w:gridCol w:w="2166"/>
        <w:gridCol w:w="2166"/>
      </w:tblGrid>
      <w:tr w:rsidR="005762F1" w:rsidRPr="005762F1" w:rsidTr="005762F1">
        <w:tc>
          <w:tcPr>
            <w:tcW w:w="4331" w:type="dxa"/>
            <w:gridSpan w:val="2"/>
            <w:shd w:val="clear" w:color="auto" w:fill="DDD9C3" w:themeFill="background2" w:themeFillShade="E6"/>
          </w:tcPr>
          <w:p w:rsidR="005762F1" w:rsidRPr="00F34BC7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8"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 w:val="28"/>
                <w:szCs w:val="22"/>
              </w:rPr>
              <w:t>10.º ano</w:t>
            </w:r>
          </w:p>
        </w:tc>
        <w:tc>
          <w:tcPr>
            <w:tcW w:w="4332" w:type="dxa"/>
            <w:gridSpan w:val="2"/>
            <w:shd w:val="clear" w:color="auto" w:fill="DDD9C3" w:themeFill="background2" w:themeFillShade="E6"/>
          </w:tcPr>
          <w:p w:rsidR="005762F1" w:rsidRPr="00F34BC7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 w:val="28"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 w:val="28"/>
                <w:szCs w:val="22"/>
              </w:rPr>
              <w:t>11.º ano</w:t>
            </w:r>
          </w:p>
        </w:tc>
      </w:tr>
      <w:tr w:rsidR="005762F1" w:rsidRPr="005762F1" w:rsidTr="00F34BC7">
        <w:trPr>
          <w:trHeight w:val="454"/>
        </w:trPr>
        <w:tc>
          <w:tcPr>
            <w:tcW w:w="4331" w:type="dxa"/>
            <w:gridSpan w:val="2"/>
            <w:shd w:val="clear" w:color="auto" w:fill="8DB3E2" w:themeFill="text2" w:themeFillTint="66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Química</w:t>
            </w:r>
          </w:p>
        </w:tc>
        <w:tc>
          <w:tcPr>
            <w:tcW w:w="4332" w:type="dxa"/>
            <w:gridSpan w:val="2"/>
            <w:shd w:val="clear" w:color="auto" w:fill="C6D9F1" w:themeFill="text2" w:themeFillTint="33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Física</w:t>
            </w:r>
          </w:p>
        </w:tc>
      </w:tr>
      <w:tr w:rsidR="00655248" w:rsidRPr="005762F1" w:rsidTr="00F34BC7">
        <w:trPr>
          <w:trHeight w:val="454"/>
        </w:trPr>
        <w:tc>
          <w:tcPr>
            <w:tcW w:w="2165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Subdomínios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Subdomínios</w:t>
            </w:r>
          </w:p>
        </w:tc>
      </w:tr>
      <w:tr w:rsidR="005762F1" w:rsidRPr="005762F1" w:rsidTr="00F34BC7">
        <w:tc>
          <w:tcPr>
            <w:tcW w:w="2165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Elementos químicos</w:t>
            </w:r>
          </w:p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e sua organização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Massa e tamanho dos átomos</w:t>
            </w:r>
          </w:p>
        </w:tc>
        <w:tc>
          <w:tcPr>
            <w:tcW w:w="2166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Mecânica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Tempo, posição e</w:t>
            </w:r>
          </w:p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velocidade</w:t>
            </w:r>
          </w:p>
        </w:tc>
      </w:tr>
      <w:tr w:rsidR="005762F1" w:rsidRPr="005762F1" w:rsidTr="00F34BC7">
        <w:tc>
          <w:tcPr>
            <w:tcW w:w="2165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Energia dos eletrões nos</w:t>
            </w:r>
            <w:r w:rsidR="00F34BC7"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átomos</w:t>
            </w:r>
          </w:p>
        </w:tc>
        <w:tc>
          <w:tcPr>
            <w:tcW w:w="2166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Interações e seus</w:t>
            </w:r>
          </w:p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efeitos</w:t>
            </w:r>
          </w:p>
        </w:tc>
      </w:tr>
      <w:tr w:rsidR="005762F1" w:rsidRPr="005762F1" w:rsidTr="00F34BC7">
        <w:tc>
          <w:tcPr>
            <w:tcW w:w="2165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Tabela Periódica</w:t>
            </w:r>
          </w:p>
        </w:tc>
        <w:tc>
          <w:tcPr>
            <w:tcW w:w="2166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Forças e movimentos</w:t>
            </w:r>
          </w:p>
        </w:tc>
      </w:tr>
      <w:tr w:rsidR="005762F1" w:rsidRPr="005762F1" w:rsidTr="00F34BC7">
        <w:tc>
          <w:tcPr>
            <w:tcW w:w="2165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Propriedades e</w:t>
            </w:r>
          </w:p>
          <w:p w:rsidR="005762F1" w:rsidRPr="005762F1" w:rsidRDefault="005762F1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transformações da</w:t>
            </w:r>
          </w:p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matéria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Ligação química</w:t>
            </w:r>
          </w:p>
        </w:tc>
        <w:tc>
          <w:tcPr>
            <w:tcW w:w="2166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Ondas e</w:t>
            </w:r>
          </w:p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eletromagnetismo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Sinais e ondas</w:t>
            </w:r>
          </w:p>
        </w:tc>
      </w:tr>
      <w:tr w:rsidR="005762F1" w:rsidRPr="005762F1" w:rsidTr="00F34BC7">
        <w:tc>
          <w:tcPr>
            <w:tcW w:w="2165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Gases e dispersões</w:t>
            </w:r>
          </w:p>
        </w:tc>
        <w:tc>
          <w:tcPr>
            <w:tcW w:w="2166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Eletromagnetismo</w:t>
            </w:r>
          </w:p>
        </w:tc>
      </w:tr>
      <w:tr w:rsidR="005762F1" w:rsidRPr="005762F1" w:rsidTr="00F34BC7">
        <w:tc>
          <w:tcPr>
            <w:tcW w:w="2165" w:type="dxa"/>
            <w:vMerge/>
          </w:tcPr>
          <w:p w:rsidR="005762F1" w:rsidRPr="005762F1" w:rsidRDefault="005762F1" w:rsidP="007B41A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Transformações químicas</w:t>
            </w:r>
          </w:p>
        </w:tc>
        <w:tc>
          <w:tcPr>
            <w:tcW w:w="2166" w:type="dxa"/>
            <w:vMerge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Ondas</w:t>
            </w:r>
          </w:p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eletromagnéticas</w:t>
            </w:r>
          </w:p>
        </w:tc>
      </w:tr>
      <w:tr w:rsidR="005762F1" w:rsidRPr="005762F1" w:rsidTr="00F34BC7">
        <w:trPr>
          <w:trHeight w:val="454"/>
        </w:trPr>
        <w:tc>
          <w:tcPr>
            <w:tcW w:w="4331" w:type="dxa"/>
            <w:gridSpan w:val="2"/>
            <w:shd w:val="clear" w:color="auto" w:fill="C6D9F1" w:themeFill="text2" w:themeFillTint="33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Física</w:t>
            </w:r>
          </w:p>
        </w:tc>
        <w:tc>
          <w:tcPr>
            <w:tcW w:w="4332" w:type="dxa"/>
            <w:gridSpan w:val="2"/>
            <w:shd w:val="clear" w:color="auto" w:fill="8DB3E2" w:themeFill="text2" w:themeFillTint="66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Química</w:t>
            </w:r>
          </w:p>
        </w:tc>
      </w:tr>
      <w:tr w:rsidR="00655248" w:rsidRPr="005762F1" w:rsidTr="00F34BC7">
        <w:trPr>
          <w:trHeight w:val="454"/>
        </w:trPr>
        <w:tc>
          <w:tcPr>
            <w:tcW w:w="2165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Subdomínios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Domínios</w:t>
            </w:r>
          </w:p>
        </w:tc>
        <w:tc>
          <w:tcPr>
            <w:tcW w:w="2166" w:type="dxa"/>
            <w:vAlign w:val="center"/>
          </w:tcPr>
          <w:p w:rsidR="00655248" w:rsidRPr="00F34BC7" w:rsidRDefault="00655248" w:rsidP="00F34BC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szCs w:val="22"/>
              </w:rPr>
            </w:pPr>
            <w:r w:rsidRPr="00F34BC7">
              <w:rPr>
                <w:rFonts w:ascii="Arial" w:eastAsiaTheme="minorHAnsi" w:hAnsi="Arial" w:cs="Arial"/>
                <w:b/>
                <w:szCs w:val="22"/>
              </w:rPr>
              <w:t>Subdomínios</w:t>
            </w:r>
          </w:p>
        </w:tc>
      </w:tr>
      <w:tr w:rsidR="005762F1" w:rsidRPr="005762F1" w:rsidTr="00F34BC7">
        <w:tc>
          <w:tcPr>
            <w:tcW w:w="2165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Energia e sua</w:t>
            </w:r>
          </w:p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conservação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Energia e</w:t>
            </w:r>
          </w:p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movimentos</w:t>
            </w:r>
          </w:p>
        </w:tc>
        <w:tc>
          <w:tcPr>
            <w:tcW w:w="2166" w:type="dxa"/>
            <w:vMerge w:val="restart"/>
            <w:vAlign w:val="center"/>
          </w:tcPr>
          <w:p w:rsidR="005762F1" w:rsidRPr="005762F1" w:rsidRDefault="005762F1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Equilíbrio químico</w:t>
            </w:r>
          </w:p>
        </w:tc>
        <w:tc>
          <w:tcPr>
            <w:tcW w:w="2166" w:type="dxa"/>
            <w:vAlign w:val="center"/>
          </w:tcPr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Aspetos quantitativos</w:t>
            </w:r>
          </w:p>
          <w:p w:rsidR="005762F1" w:rsidRPr="00F34BC7" w:rsidRDefault="005762F1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das reações químicas</w:t>
            </w:r>
          </w:p>
        </w:tc>
      </w:tr>
      <w:tr w:rsidR="00F34BC7" w:rsidRPr="005762F1" w:rsidTr="00F34BC7">
        <w:tc>
          <w:tcPr>
            <w:tcW w:w="2165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Energia e fenómenos</w:t>
            </w:r>
          </w:p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elétricos</w:t>
            </w:r>
          </w:p>
        </w:tc>
        <w:tc>
          <w:tcPr>
            <w:tcW w:w="2166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Equilíbrio químico e extensão das reações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químicas</w:t>
            </w:r>
          </w:p>
        </w:tc>
      </w:tr>
      <w:tr w:rsidR="00F34BC7" w:rsidRPr="005762F1" w:rsidTr="00F34BC7">
        <w:tc>
          <w:tcPr>
            <w:tcW w:w="2165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Merge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Reações em</w:t>
            </w:r>
          </w:p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5762F1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sistemas aquosos</w:t>
            </w:r>
          </w:p>
        </w:tc>
        <w:tc>
          <w:tcPr>
            <w:tcW w:w="2166" w:type="dxa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Reações ácido-base</w:t>
            </w:r>
          </w:p>
        </w:tc>
      </w:tr>
      <w:tr w:rsidR="00F34BC7" w:rsidRPr="005762F1" w:rsidTr="00F34BC7">
        <w:tc>
          <w:tcPr>
            <w:tcW w:w="2165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Merge w:val="restart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Energia, fenómenos térmicos e radiação</w:t>
            </w:r>
          </w:p>
        </w:tc>
        <w:tc>
          <w:tcPr>
            <w:tcW w:w="2166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Reações de oxidação-redução</w:t>
            </w:r>
          </w:p>
        </w:tc>
      </w:tr>
      <w:tr w:rsidR="00F34BC7" w:rsidRPr="005762F1" w:rsidTr="00F34BC7">
        <w:tc>
          <w:tcPr>
            <w:tcW w:w="2165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Merge/>
          </w:tcPr>
          <w:p w:rsidR="00F34BC7" w:rsidRPr="005762F1" w:rsidRDefault="00F34BC7" w:rsidP="00BF4B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Merge/>
          </w:tcPr>
          <w:p w:rsidR="00F34BC7" w:rsidRPr="005762F1" w:rsidRDefault="00F34BC7" w:rsidP="005762F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66" w:type="dxa"/>
            <w:vAlign w:val="center"/>
          </w:tcPr>
          <w:p w:rsidR="00F34BC7" w:rsidRPr="00F34BC7" w:rsidRDefault="00F34BC7" w:rsidP="00F34BC7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2"/>
              </w:rPr>
            </w:pP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Soluções e equilíbrio de</w:t>
            </w:r>
            <w:r>
              <w:rPr>
                <w:rFonts w:ascii="Arial" w:eastAsiaTheme="minorHAnsi" w:hAnsi="Arial" w:cs="Arial"/>
                <w:sz w:val="20"/>
                <w:szCs w:val="22"/>
              </w:rPr>
              <w:t xml:space="preserve"> </w:t>
            </w:r>
            <w:r w:rsidRPr="00F34BC7">
              <w:rPr>
                <w:rFonts w:ascii="Arial" w:eastAsiaTheme="minorHAnsi" w:hAnsi="Arial" w:cs="Arial"/>
                <w:sz w:val="20"/>
                <w:szCs w:val="22"/>
              </w:rPr>
              <w:t>solubilidade</w:t>
            </w:r>
          </w:p>
        </w:tc>
      </w:tr>
    </w:tbl>
    <w:p w:rsidR="00655248" w:rsidRDefault="00655248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Os conteúdos foram selecionados procurando manter os aspetos essenciais dos programas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anteriores (Física e Química A do 10</w:t>
      </w:r>
      <w:r>
        <w:rPr>
          <w:rFonts w:ascii="Arial" w:hAnsi="Arial" w:cs="Arial"/>
        </w:rPr>
        <w:t>.º</w:t>
      </w:r>
      <w:r w:rsidRPr="00D40E7A">
        <w:rPr>
          <w:rFonts w:ascii="Arial" w:hAnsi="Arial" w:cs="Arial"/>
        </w:rPr>
        <w:t xml:space="preserve"> ano, homologado em 2001, e do 11</w:t>
      </w:r>
      <w:r>
        <w:rPr>
          <w:rFonts w:ascii="Arial" w:hAnsi="Arial" w:cs="Arial"/>
        </w:rPr>
        <w:t>.º</w:t>
      </w:r>
      <w:r w:rsidRPr="00D40E7A">
        <w:rPr>
          <w:rFonts w:ascii="Arial" w:hAnsi="Arial" w:cs="Arial"/>
        </w:rPr>
        <w:t xml:space="preserve"> ano, homologado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em 2003). Pretendeu-se também valorizar os saberes dos professores a respeito dos processos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de ensino e de aprendizagem, resultantes de quase uma década de prática na sua aplicação.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A terminologia usada tem por base o Sistema Internacional (SI), cujas condições e normas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de utilização em Po</w:t>
      </w:r>
      <w:r>
        <w:rPr>
          <w:rFonts w:ascii="Arial" w:hAnsi="Arial" w:cs="Arial"/>
        </w:rPr>
        <w:t>rtugal constam do Decreto-Lei n.º</w:t>
      </w:r>
      <w:r w:rsidRPr="00D40E7A">
        <w:rPr>
          <w:rFonts w:ascii="Arial" w:hAnsi="Arial" w:cs="Arial"/>
        </w:rPr>
        <w:t xml:space="preserve"> 128/2010, de 3 de dezem</w:t>
      </w:r>
      <w:r>
        <w:rPr>
          <w:rFonts w:ascii="Arial" w:hAnsi="Arial" w:cs="Arial"/>
        </w:rPr>
        <w:t>bro.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Outros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aspetos de terminologia e definições seguiram recomendações de entidades internacionais,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como a União Internacional de Química Pura e Aplicada (IUPAC), ou nacionais, como o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Instituto Português da Qualidade (IPQ).</w:t>
      </w:r>
    </w:p>
    <w:p w:rsidR="007B41A7" w:rsidRPr="00D40E7A" w:rsidRDefault="007B41A7" w:rsidP="007B41A7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Theme="minorHAnsi" w:hAnsi="Arial" w:cs="Arial"/>
          <w:b/>
          <w:bCs/>
          <w:color w:val="000000"/>
          <w:sz w:val="28"/>
          <w:szCs w:val="28"/>
        </w:rPr>
      </w:pPr>
      <w:r w:rsidRPr="00D40E7A">
        <w:rPr>
          <w:rFonts w:ascii="Arial" w:eastAsiaTheme="minorHAnsi" w:hAnsi="Arial" w:cs="Arial"/>
          <w:b/>
          <w:bCs/>
          <w:color w:val="000000"/>
          <w:sz w:val="28"/>
          <w:szCs w:val="28"/>
        </w:rPr>
        <w:lastRenderedPageBreak/>
        <w:t>4. Orientações gerais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>Os domínios, bem como os subdomínios, são temas da física ou da química. Mas, dado o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impacto que os conhecimentos da física e da química e das suas aplicações tem na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compreensão do mundo natural e na vida dos seres humanos, sugere-se que a abordagem dos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conceitos científicos parta, sempre que possível e adequado, de situações variadas que sejam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motivadoras como, por exemplo, casos da vida quotidiana, avanços recentes da ciência e da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tecnologia, contextos culturais onde a ciência se insira, episódios da história da ciência 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outras situações socialmente relevantes. A escolha desses contextos por parte do professor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deve ter em conta as condições particulares de cada turma e escola. Tal opção não só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 xml:space="preserve">reforçara a motivação dos alunos pela aprendizagem mas também permitira uma mais </w:t>
      </w:r>
      <w:r>
        <w:rPr>
          <w:rFonts w:ascii="Arial" w:eastAsiaTheme="minorHAnsi" w:hAnsi="Arial" w:cs="Arial"/>
          <w:color w:val="000000"/>
        </w:rPr>
        <w:t xml:space="preserve">fácil </w:t>
      </w:r>
      <w:r w:rsidRPr="00D40E7A">
        <w:rPr>
          <w:rFonts w:ascii="Arial" w:eastAsiaTheme="minorHAnsi" w:hAnsi="Arial" w:cs="Arial"/>
          <w:color w:val="000000"/>
        </w:rPr>
        <w:t>concretização de aspetos formais mais abstratos das ciências em causa. Em particular, a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invocação de situações da história da ciência permite compreender o modo como ela foi sendo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construída.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 xml:space="preserve">O desempenho do aluno também deve ser revelado na familiarização com </w:t>
      </w:r>
      <w:r>
        <w:rPr>
          <w:rFonts w:ascii="Arial" w:eastAsiaTheme="minorHAnsi" w:hAnsi="Arial" w:cs="Arial"/>
          <w:color w:val="000000"/>
        </w:rPr>
        <w:t xml:space="preserve">métodos </w:t>
      </w:r>
      <w:r w:rsidRPr="00D40E7A">
        <w:rPr>
          <w:rFonts w:ascii="Arial" w:eastAsiaTheme="minorHAnsi" w:hAnsi="Arial" w:cs="Arial"/>
          <w:color w:val="000000"/>
        </w:rPr>
        <w:t>próprios do trabalho cientifico, incluindo a adoção de atitudes adequadas face as tarefas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propostas, devendo a realização de trabalho pratico-laboratorial constituir um meio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privilegiado para a aquisição desses métodos e desenvolvimento dessas atitudes.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>O ensino da Física e Química A deve permitir que os alunos se envolvam em diferentes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atividades de sala de aula, incluindo a resolução de exercícios e de problemas, de modo a que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desenvolvam a compreensão dos conceitos, leis e teorias, interiorizando processos científicos.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>Na resolução de problemas os alunos devem também desenvolver as capacidades de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interpretação das informações fornecidas, de reflexão sobre elas e de estabelecimento de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metodologias adequadas para alcançar boas soluções.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>As atividades de demonstração, efetuadas pelo professor, recorrendo a materiais de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laboratório ou comuns, com ou sem aquisição automática de dados, constituem uma forte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motivação para introduzir certos conteúdos científicos ao mesmo tempo que facilitam a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respetiva interpretação. Também o recurso a filmes, animações ou simulações computacionais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pode ajudar a compreensão de conceitos, leis e teorias mais abstratas.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t>Esta disciplina, pela sua própria natureza, recorre frequentemente a conhecimentos 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métodos matemáticos. Alguns alunos poderão ter dificuldades na interpretação de relações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quantitativas entre grandezas físico-químicas, incluindo a construção de modelos de base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matemática na componente laboratorial, ou na resolução de problemas quantitativos por via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analítica, devendo o professor desenvolver estratégias que visem a superação das dificuldades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 xml:space="preserve">detetadas. O recurso a calculadoras gráficas (ou a </w:t>
      </w:r>
      <w:proofErr w:type="spellStart"/>
      <w:r w:rsidRPr="00D40E7A">
        <w:rPr>
          <w:rFonts w:ascii="Arial" w:eastAsiaTheme="minorHAnsi" w:hAnsi="Arial" w:cs="Arial"/>
          <w:i/>
          <w:iCs/>
          <w:color w:val="000000"/>
        </w:rPr>
        <w:t>tablets</w:t>
      </w:r>
      <w:proofErr w:type="spellEnd"/>
      <w:r w:rsidRPr="00D40E7A">
        <w:rPr>
          <w:rFonts w:ascii="Arial" w:eastAsiaTheme="minorHAnsi" w:hAnsi="Arial" w:cs="Arial"/>
          <w:i/>
          <w:iCs/>
          <w:color w:val="000000"/>
        </w:rPr>
        <w:t xml:space="preserve">, </w:t>
      </w:r>
      <w:r w:rsidRPr="00D40E7A">
        <w:rPr>
          <w:rFonts w:ascii="Arial" w:eastAsiaTheme="minorHAnsi" w:hAnsi="Arial" w:cs="Arial"/>
          <w:color w:val="000000"/>
        </w:rPr>
        <w:t xml:space="preserve">ou a </w:t>
      </w:r>
      <w:r w:rsidRPr="00D40E7A">
        <w:rPr>
          <w:rFonts w:ascii="Arial" w:eastAsiaTheme="minorHAnsi" w:hAnsi="Arial" w:cs="Arial"/>
          <w:i/>
          <w:iCs/>
          <w:color w:val="000000"/>
        </w:rPr>
        <w:t xml:space="preserve">laptops) </w:t>
      </w:r>
      <w:r w:rsidRPr="00D40E7A">
        <w:rPr>
          <w:rFonts w:ascii="Arial" w:eastAsiaTheme="minorHAnsi" w:hAnsi="Arial" w:cs="Arial"/>
          <w:color w:val="000000"/>
        </w:rPr>
        <w:t>ajudar</w:t>
      </w:r>
      <w:r>
        <w:rPr>
          <w:rFonts w:ascii="Arial" w:eastAsiaTheme="minorHAnsi" w:hAnsi="Arial" w:cs="Arial"/>
          <w:color w:val="000000"/>
        </w:rPr>
        <w:t>á</w:t>
      </w:r>
      <w:r w:rsidRPr="00D40E7A">
        <w:rPr>
          <w:rFonts w:ascii="Arial" w:eastAsiaTheme="minorHAnsi" w:hAnsi="Arial" w:cs="Arial"/>
          <w:color w:val="000000"/>
        </w:rPr>
        <w:t xml:space="preserve"> a ultrapassar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alguns desses constrangimentos, cabendo ao professor, quando necessário, introduzir os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procedimentos de boa utilização desses equipamentos.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</w:rPr>
      </w:pPr>
      <w:r w:rsidRPr="00D40E7A">
        <w:rPr>
          <w:rFonts w:ascii="Arial" w:eastAsiaTheme="minorHAnsi" w:hAnsi="Arial" w:cs="Arial"/>
          <w:color w:val="000000"/>
        </w:rPr>
        <w:lastRenderedPageBreak/>
        <w:t>Os alunos devem ser incentivados a trabalhar em grupo, designadamente na realização das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atividades laboratoriais. O trabalho em grupo deve permitir uma efetiva colaboração entre os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seus membros, mas, ao mesmo tempo que aumenta o espírito de entreajuda, desenvolver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também hábitos de trabalho e a autonomia em cada um deles.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  <w:r w:rsidRPr="00D40E7A">
        <w:rPr>
          <w:rFonts w:ascii="Arial" w:eastAsiaTheme="minorHAnsi" w:hAnsi="Arial" w:cs="Arial"/>
          <w:color w:val="000000"/>
        </w:rPr>
        <w:t>Os alunos devem igualmente ser incentivados a investigar e a refletir, comunicando as suas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aprendizagens oralmente e por escrito. Devem, no seu discurso, usar vocabulário científico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próprio da disciplina e evidenciar um modo de pensar científico, ou seja, fundamentado em</w:t>
      </w:r>
      <w:r>
        <w:rPr>
          <w:rFonts w:ascii="Arial" w:eastAsiaTheme="minorHAnsi" w:hAnsi="Arial" w:cs="Arial"/>
          <w:color w:val="000000"/>
        </w:rPr>
        <w:t xml:space="preserve"> </w:t>
      </w:r>
      <w:r w:rsidRPr="00D40E7A">
        <w:rPr>
          <w:rFonts w:ascii="Arial" w:eastAsiaTheme="minorHAnsi" w:hAnsi="Arial" w:cs="Arial"/>
          <w:color w:val="000000"/>
        </w:rPr>
        <w:t>conceitos, leis e teorias científicas.</w:t>
      </w: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B36D2E" w:rsidRDefault="00B36D2E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7B41A7" w:rsidRPr="00D40E7A" w:rsidRDefault="007B41A7" w:rsidP="007B41A7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40E7A">
        <w:rPr>
          <w:rFonts w:ascii="Arial" w:hAnsi="Arial" w:cs="Arial"/>
          <w:b/>
          <w:bCs/>
          <w:sz w:val="28"/>
          <w:szCs w:val="28"/>
        </w:rPr>
        <w:t>5. Metas curriculares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Segundo o Despacho n</w:t>
      </w:r>
      <w:r>
        <w:rPr>
          <w:rFonts w:ascii="Arial" w:hAnsi="Arial" w:cs="Arial"/>
        </w:rPr>
        <w:t>.º</w:t>
      </w:r>
      <w:r w:rsidRPr="00D40E7A">
        <w:rPr>
          <w:rFonts w:ascii="Arial" w:hAnsi="Arial" w:cs="Arial"/>
        </w:rPr>
        <w:t xml:space="preserve"> 15971/2012, de 14 de dezembro, as metas curriculares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“identificam a aprendizagem essencial a realizar pelos alunos … realçando o que dos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programas deve ser objeto primordial de ensino”.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As metas curriculares permitem: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- identificar os desempenhos que traduzem os conhecimentos a adquirir e as capacidades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que se querem ver desenvolvidas no final de um dado módulo de ensino;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- fornecer o referencial para a avaliação interna e externa, em particular para as provas dos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exames nacionais;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- orientar a a</w:t>
      </w:r>
      <w:r>
        <w:rPr>
          <w:rFonts w:ascii="Arial" w:hAnsi="Arial" w:cs="Arial"/>
        </w:rPr>
        <w:t>çã</w:t>
      </w:r>
      <w:r w:rsidRPr="00D40E7A">
        <w:rPr>
          <w:rFonts w:ascii="Arial" w:hAnsi="Arial" w:cs="Arial"/>
        </w:rPr>
        <w:t>o do professor na planificação do seu ensino e na produção de materiais</w:t>
      </w:r>
      <w:r>
        <w:rPr>
          <w:rFonts w:ascii="Arial" w:hAnsi="Arial" w:cs="Arial"/>
        </w:rPr>
        <w:t xml:space="preserve"> didá</w:t>
      </w:r>
      <w:r w:rsidRPr="00D40E7A">
        <w:rPr>
          <w:rFonts w:ascii="Arial" w:hAnsi="Arial" w:cs="Arial"/>
        </w:rPr>
        <w:t>ticos;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- facilitar o processo de autoavaliação pelo aluno.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 xml:space="preserve">As metas curriculares </w:t>
      </w:r>
      <w:r>
        <w:rPr>
          <w:rFonts w:ascii="Arial" w:hAnsi="Arial" w:cs="Arial"/>
        </w:rPr>
        <w:t>a</w:t>
      </w:r>
      <w:r w:rsidRPr="00D40E7A">
        <w:rPr>
          <w:rFonts w:ascii="Arial" w:hAnsi="Arial" w:cs="Arial"/>
        </w:rPr>
        <w:t xml:space="preserve">presentam-se </w:t>
      </w:r>
      <w:r>
        <w:rPr>
          <w:rFonts w:ascii="Arial" w:hAnsi="Arial" w:cs="Arial"/>
        </w:rPr>
        <w:t>por</w:t>
      </w:r>
      <w:r w:rsidRPr="00D40E7A">
        <w:rPr>
          <w:rFonts w:ascii="Arial" w:hAnsi="Arial" w:cs="Arial"/>
        </w:rPr>
        <w:t xml:space="preserve"> objetivos gerais pormenorizados por descritores, organizados por ano de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escolaridade e por domínios e subdomínios, em cada componente, de acordo com a seguinte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estrutura: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D40E7A">
        <w:rPr>
          <w:rFonts w:ascii="Arial" w:hAnsi="Arial" w:cs="Arial"/>
        </w:rPr>
        <w:t xml:space="preserve">• </w:t>
      </w:r>
      <w:r w:rsidRPr="00D40E7A">
        <w:rPr>
          <w:rFonts w:ascii="Arial" w:hAnsi="Arial" w:cs="Arial"/>
          <w:b/>
          <w:bCs/>
        </w:rPr>
        <w:t>Domínio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D40E7A">
        <w:rPr>
          <w:rFonts w:ascii="Arial" w:hAnsi="Arial" w:cs="Arial"/>
          <w:b/>
          <w:bCs/>
        </w:rPr>
        <w:t>Subdomínio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D40E7A">
        <w:rPr>
          <w:rFonts w:ascii="Arial" w:hAnsi="Arial" w:cs="Arial"/>
          <w:b/>
          <w:bCs/>
        </w:rPr>
        <w:t>Objetivo geral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1. Descritor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2. Descritor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40E7A">
        <w:rPr>
          <w:rFonts w:ascii="Arial" w:hAnsi="Arial" w:cs="Arial"/>
        </w:rPr>
        <w:t>Destacam-se os objetivos gerais e descritores referentes ao trabalho pratico-laboratorial,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quer transversais quer específicos de cada atividade laboratorial.</w:t>
      </w:r>
    </w:p>
    <w:p w:rsidR="007B41A7" w:rsidRDefault="007B41A7" w:rsidP="007B41A7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B41A7" w:rsidRPr="00D40E7A" w:rsidRDefault="007B41A7" w:rsidP="007B41A7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40E7A">
        <w:rPr>
          <w:rFonts w:ascii="Arial" w:hAnsi="Arial" w:cs="Arial"/>
          <w:b/>
          <w:bCs/>
          <w:sz w:val="28"/>
          <w:szCs w:val="28"/>
        </w:rPr>
        <w:lastRenderedPageBreak/>
        <w:t>6. Desenvolvimento do Programa</w:t>
      </w:r>
      <w:r>
        <w:rPr>
          <w:rFonts w:ascii="Arial" w:hAnsi="Arial" w:cs="Arial"/>
          <w:b/>
          <w:bCs/>
          <w:sz w:val="28"/>
          <w:szCs w:val="28"/>
        </w:rPr>
        <w:t xml:space="preserve"> - </w:t>
      </w:r>
      <w:r w:rsidRPr="00D40E7A">
        <w:rPr>
          <w:rFonts w:ascii="Arial" w:hAnsi="Arial" w:cs="Arial"/>
          <w:b/>
          <w:bCs/>
          <w:sz w:val="28"/>
          <w:szCs w:val="28"/>
        </w:rPr>
        <w:t>Componente de Química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</w:rPr>
        <w:t xml:space="preserve">Apresentam-se </w:t>
      </w:r>
      <w:r w:rsidRPr="00D40E7A">
        <w:rPr>
          <w:rFonts w:ascii="Arial" w:hAnsi="Arial" w:cs="Arial"/>
        </w:rPr>
        <w:t>a sequência dos conteúdos e o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seu enquadramento, incluindo as atividades pratico-laboratoriais, por domínio e subdomínio e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por ano de escolaridade, os respetivos objetivos gerais, algumas orientações e sugestões, e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 xml:space="preserve">uma previsão do número de aulas por subdomínio. Consideram-se, para essa previsão, </w:t>
      </w:r>
      <w:r>
        <w:rPr>
          <w:rFonts w:ascii="Arial" w:hAnsi="Arial" w:cs="Arial"/>
        </w:rPr>
        <w:t xml:space="preserve">três </w:t>
      </w:r>
      <w:r w:rsidRPr="00D40E7A">
        <w:rPr>
          <w:rFonts w:ascii="Arial" w:hAnsi="Arial" w:cs="Arial"/>
        </w:rPr>
        <w:t>aulas semanais. O numero de aulas previsto e indicativo e deve ser gerido pelo professor de</w:t>
      </w:r>
      <w:r>
        <w:rPr>
          <w:rFonts w:ascii="Arial" w:hAnsi="Arial" w:cs="Arial"/>
        </w:rPr>
        <w:t xml:space="preserve"> </w:t>
      </w:r>
      <w:r w:rsidRPr="00D40E7A">
        <w:rPr>
          <w:rFonts w:ascii="Arial" w:hAnsi="Arial" w:cs="Arial"/>
        </w:rPr>
        <w:t>acordo com as características das suas turmas.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lang w:val="pt-BR"/>
        </w:r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6.1 Visão geral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lang w:val="pt-BR"/>
        </w:r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 xml:space="preserve">A componente de Química contempla quatro domínios: 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 xml:space="preserve">- </w:t>
      </w:r>
      <w:r w:rsidRPr="00D40E7A">
        <w:rPr>
          <w:rFonts w:ascii="Arial" w:eastAsiaTheme="minorHAnsi" w:hAnsi="Arial" w:cs="Arial"/>
        </w:rPr>
        <w:t>“</w:t>
      </w:r>
      <w:r w:rsidRPr="00344D72">
        <w:rPr>
          <w:rFonts w:ascii="Arial" w:eastAsiaTheme="minorHAnsi" w:hAnsi="Arial" w:cs="Arial"/>
          <w:b/>
        </w:rPr>
        <w:t>Elementos químicos e sua organização</w:t>
      </w:r>
      <w:r w:rsidRPr="00D40E7A">
        <w:rPr>
          <w:rFonts w:ascii="Arial" w:eastAsiaTheme="minorHAnsi" w:hAnsi="Arial" w:cs="Arial"/>
        </w:rPr>
        <w:t>”, “</w:t>
      </w:r>
      <w:r w:rsidRPr="00344D72">
        <w:rPr>
          <w:rFonts w:ascii="Arial" w:eastAsiaTheme="minorHAnsi" w:hAnsi="Arial" w:cs="Arial"/>
          <w:b/>
        </w:rPr>
        <w:t>Propriedades e transformações da matéria</w:t>
      </w:r>
      <w:r>
        <w:rPr>
          <w:rFonts w:ascii="Arial" w:eastAsiaTheme="minorHAnsi" w:hAnsi="Arial" w:cs="Arial"/>
        </w:rPr>
        <w:t>” (10.º ano)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-</w:t>
      </w:r>
      <w:r w:rsidRPr="00D40E7A">
        <w:rPr>
          <w:rFonts w:ascii="Arial" w:eastAsiaTheme="minorHAnsi" w:hAnsi="Arial" w:cs="Arial"/>
        </w:rPr>
        <w:t xml:space="preserve"> “</w:t>
      </w:r>
      <w:r w:rsidRPr="00344D72">
        <w:rPr>
          <w:rFonts w:ascii="Arial" w:eastAsiaTheme="minorHAnsi" w:hAnsi="Arial" w:cs="Arial"/>
          <w:b/>
        </w:rPr>
        <w:t>Equilíbrio químico</w:t>
      </w:r>
      <w:r w:rsidRPr="00D40E7A">
        <w:rPr>
          <w:rFonts w:ascii="Arial" w:eastAsiaTheme="minorHAnsi" w:hAnsi="Arial" w:cs="Arial"/>
        </w:rPr>
        <w:t>” e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“</w:t>
      </w:r>
      <w:r w:rsidRPr="00344D72">
        <w:rPr>
          <w:rFonts w:ascii="Arial" w:eastAsiaTheme="minorHAnsi" w:hAnsi="Arial" w:cs="Arial"/>
          <w:b/>
        </w:rPr>
        <w:t>Reações em sistemas aquosos</w:t>
      </w:r>
      <w:r w:rsidRPr="00D40E7A">
        <w:rPr>
          <w:rFonts w:ascii="Arial" w:eastAsiaTheme="minorHAnsi" w:hAnsi="Arial" w:cs="Arial"/>
        </w:rPr>
        <w:t>” (11.</w:t>
      </w:r>
      <w:r>
        <w:rPr>
          <w:rFonts w:ascii="Arial" w:eastAsiaTheme="minorHAnsi" w:hAnsi="Arial" w:cs="Arial"/>
        </w:rPr>
        <w:t>º</w:t>
      </w:r>
      <w:r w:rsidRPr="00D40E7A">
        <w:rPr>
          <w:rFonts w:ascii="Arial" w:eastAsiaTheme="minorHAnsi" w:hAnsi="Arial" w:cs="Arial"/>
        </w:rPr>
        <w:t xml:space="preserve"> ano).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O 10</w:t>
      </w:r>
      <w:r>
        <w:rPr>
          <w:rFonts w:ascii="Arial" w:eastAsiaTheme="minorHAnsi" w:hAnsi="Arial" w:cs="Arial"/>
        </w:rPr>
        <w:t>.º</w:t>
      </w:r>
      <w:r w:rsidRPr="00D40E7A">
        <w:rPr>
          <w:rFonts w:ascii="Arial" w:eastAsiaTheme="minorHAnsi" w:hAnsi="Arial" w:cs="Arial"/>
        </w:rPr>
        <w:t xml:space="preserve"> ano desenvolve-se através de ideias organizadoras que vão das propriedades do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átomo a reatividade molecular, passando por aspetos quantitativos das propriedades dos</w:t>
      </w:r>
      <w:r>
        <w:rPr>
          <w:rFonts w:ascii="Arial" w:eastAsiaTheme="minorHAnsi" w:hAnsi="Arial" w:cs="Arial"/>
        </w:rPr>
        <w:t xml:space="preserve"> gases e dispersões.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O 11</w:t>
      </w:r>
      <w:r>
        <w:rPr>
          <w:rFonts w:ascii="Arial" w:eastAsiaTheme="minorHAnsi" w:hAnsi="Arial" w:cs="Arial"/>
        </w:rPr>
        <w:t>.º</w:t>
      </w:r>
      <w:r w:rsidRPr="00D40E7A">
        <w:rPr>
          <w:rFonts w:ascii="Arial" w:eastAsiaTheme="minorHAnsi" w:hAnsi="Arial" w:cs="Arial"/>
        </w:rPr>
        <w:t xml:space="preserve"> ano centra-se no equilíbrio químico e em aspetos quantitativos e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 xml:space="preserve">qualitativos das reações químicas, sendo estudadas em particular reações </w:t>
      </w:r>
      <w:r>
        <w:rPr>
          <w:rFonts w:ascii="Arial" w:eastAsiaTheme="minorHAnsi" w:hAnsi="Arial" w:cs="Arial"/>
        </w:rPr>
        <w:t>á</w:t>
      </w:r>
      <w:r w:rsidRPr="00D40E7A">
        <w:rPr>
          <w:rFonts w:ascii="Arial" w:eastAsiaTheme="minorHAnsi" w:hAnsi="Arial" w:cs="Arial"/>
        </w:rPr>
        <w:t>cido-base, de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oxida</w:t>
      </w:r>
      <w:r>
        <w:rPr>
          <w:rFonts w:ascii="Arial" w:eastAsiaTheme="minorHAnsi" w:hAnsi="Arial" w:cs="Arial"/>
        </w:rPr>
        <w:t>çã</w:t>
      </w:r>
      <w:r w:rsidRPr="00D40E7A">
        <w:rPr>
          <w:rFonts w:ascii="Arial" w:eastAsiaTheme="minorHAnsi" w:hAnsi="Arial" w:cs="Arial"/>
        </w:rPr>
        <w:t>o-redu</w:t>
      </w:r>
      <w:r>
        <w:rPr>
          <w:rFonts w:ascii="Arial" w:eastAsiaTheme="minorHAnsi" w:hAnsi="Arial" w:cs="Arial"/>
        </w:rPr>
        <w:t>çã</w:t>
      </w:r>
      <w:r w:rsidRPr="00D40E7A">
        <w:rPr>
          <w:rFonts w:ascii="Arial" w:eastAsiaTheme="minorHAnsi" w:hAnsi="Arial" w:cs="Arial"/>
        </w:rPr>
        <w:t>o e de solubilidade. A seleção dos conteúdos fundamenta-se nas seguintes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ideias organizadoras: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(1) a matéria</w:t>
      </w:r>
      <w:r>
        <w:rPr>
          <w:rFonts w:ascii="Arial" w:eastAsiaTheme="minorHAnsi" w:hAnsi="Arial" w:cs="Arial"/>
        </w:rPr>
        <w:t xml:space="preserve"> comum é</w:t>
      </w:r>
      <w:r w:rsidRPr="00D40E7A">
        <w:rPr>
          <w:rFonts w:ascii="Arial" w:eastAsiaTheme="minorHAnsi" w:hAnsi="Arial" w:cs="Arial"/>
        </w:rPr>
        <w:t xml:space="preserve"> constituída por átomos;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(2) as propriedades dos átomos são determinadas pelo modo como se distribuem os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eletrões e pelas respetivas energias;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(3) os elementos químicos estão organizados na Tabela Periódica, baseada nas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propriedades dos átomos;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(4) os átomos podem unir-se para formar moléculas e outras estruturas maiores através de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ligações químicas envolvendo essencialmente os eletrões de valência;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(5) as propriedades dos materiais são determinadas pelo tipo de átomos, pelas ligações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químicas e pela geometria das moléculas;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(6) a estabilidade relativa, do ponto de vista energético, dos átomos e moléculas influencia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a sua reatividade;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 xml:space="preserve">(7) existe um número reduzido de tipos de reações químicas, sendo a este </w:t>
      </w:r>
      <w:r>
        <w:rPr>
          <w:rFonts w:ascii="Arial" w:eastAsiaTheme="minorHAnsi" w:hAnsi="Arial" w:cs="Arial"/>
        </w:rPr>
        <w:t xml:space="preserve">nível </w:t>
      </w:r>
      <w:r w:rsidRPr="00D40E7A">
        <w:rPr>
          <w:rFonts w:ascii="Arial" w:eastAsiaTheme="minorHAnsi" w:hAnsi="Arial" w:cs="Arial"/>
        </w:rPr>
        <w:t xml:space="preserve">considerados três: 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(a) transferência de protão (</w:t>
      </w:r>
      <w:r>
        <w:rPr>
          <w:rFonts w:ascii="Arial" w:eastAsiaTheme="minorHAnsi" w:hAnsi="Arial" w:cs="Arial"/>
        </w:rPr>
        <w:t>á</w:t>
      </w:r>
      <w:r w:rsidRPr="00D40E7A">
        <w:rPr>
          <w:rFonts w:ascii="Arial" w:eastAsiaTheme="minorHAnsi" w:hAnsi="Arial" w:cs="Arial"/>
        </w:rPr>
        <w:t xml:space="preserve">cido-base), 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(b) transferência de eletrões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(oxida</w:t>
      </w:r>
      <w:r>
        <w:rPr>
          <w:rFonts w:ascii="Arial" w:eastAsiaTheme="minorHAnsi" w:hAnsi="Arial" w:cs="Arial"/>
        </w:rPr>
        <w:t>çã</w:t>
      </w:r>
      <w:r w:rsidRPr="00D40E7A">
        <w:rPr>
          <w:rFonts w:ascii="Arial" w:eastAsiaTheme="minorHAnsi" w:hAnsi="Arial" w:cs="Arial"/>
        </w:rPr>
        <w:t>o-redu</w:t>
      </w:r>
      <w:r>
        <w:rPr>
          <w:rFonts w:ascii="Arial" w:eastAsiaTheme="minorHAnsi" w:hAnsi="Arial" w:cs="Arial"/>
        </w:rPr>
        <w:t>çã</w:t>
      </w:r>
      <w:r w:rsidRPr="00D40E7A">
        <w:rPr>
          <w:rFonts w:ascii="Arial" w:eastAsiaTheme="minorHAnsi" w:hAnsi="Arial" w:cs="Arial"/>
        </w:rPr>
        <w:t>o)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(c) deslocamento de iões (precipitação, solubiliza</w:t>
      </w:r>
      <w:r>
        <w:rPr>
          <w:rFonts w:ascii="Arial" w:eastAsiaTheme="minorHAnsi" w:hAnsi="Arial" w:cs="Arial"/>
        </w:rPr>
        <w:t>ç</w:t>
      </w:r>
      <w:r w:rsidRPr="00D40E7A">
        <w:rPr>
          <w:rFonts w:ascii="Arial" w:eastAsiaTheme="minorHAnsi" w:hAnsi="Arial" w:cs="Arial"/>
        </w:rPr>
        <w:t xml:space="preserve">ão e </w:t>
      </w:r>
      <w:proofErr w:type="spellStart"/>
      <w:r w:rsidRPr="00D40E7A">
        <w:rPr>
          <w:rFonts w:ascii="Arial" w:eastAsiaTheme="minorHAnsi" w:hAnsi="Arial" w:cs="Arial"/>
        </w:rPr>
        <w:t>complexa</w:t>
      </w:r>
      <w:r>
        <w:rPr>
          <w:rFonts w:ascii="Arial" w:eastAsiaTheme="minorHAnsi" w:hAnsi="Arial" w:cs="Arial"/>
        </w:rPr>
        <w:t>ç</w:t>
      </w:r>
      <w:r w:rsidRPr="00D40E7A">
        <w:rPr>
          <w:rFonts w:ascii="Arial" w:eastAsiaTheme="minorHAnsi" w:hAnsi="Arial" w:cs="Arial"/>
        </w:rPr>
        <w:t>ão</w:t>
      </w:r>
      <w:proofErr w:type="spellEnd"/>
      <w:r w:rsidRPr="00D40E7A">
        <w:rPr>
          <w:rFonts w:ascii="Arial" w:eastAsiaTheme="minorHAnsi" w:hAnsi="Arial" w:cs="Arial"/>
        </w:rPr>
        <w:t>);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(8) nas reações químicas a massa e a energia conservam-se e os reagentes e produtos, num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sistema fechado, tendem para o equilíbrio.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Como o grau de abstração necessário para compreender conceitos como o de orbital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 xml:space="preserve">atómica </w:t>
      </w:r>
      <w:r>
        <w:rPr>
          <w:rFonts w:ascii="Arial" w:eastAsiaTheme="minorHAnsi" w:hAnsi="Arial" w:cs="Arial"/>
        </w:rPr>
        <w:t>é</w:t>
      </w:r>
      <w:r w:rsidRPr="00D40E7A">
        <w:rPr>
          <w:rFonts w:ascii="Arial" w:eastAsiaTheme="minorHAnsi" w:hAnsi="Arial" w:cs="Arial"/>
        </w:rPr>
        <w:t xml:space="preserve"> elevado, reduziu-se esta temática ao mínimo necessário para chegar </w:t>
      </w:r>
      <w:r>
        <w:rPr>
          <w:rFonts w:ascii="Arial" w:eastAsiaTheme="minorHAnsi" w:hAnsi="Arial" w:cs="Arial"/>
        </w:rPr>
        <w:t>à</w:t>
      </w:r>
      <w:r w:rsidRPr="00D40E7A">
        <w:rPr>
          <w:rFonts w:ascii="Arial" w:eastAsiaTheme="minorHAnsi" w:hAnsi="Arial" w:cs="Arial"/>
        </w:rPr>
        <w:t>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 xml:space="preserve">configurações eletrónicas dos átomos, em especial das suas </w:t>
      </w:r>
      <w:r w:rsidRPr="00D40E7A">
        <w:rPr>
          <w:rFonts w:ascii="Arial" w:eastAsiaTheme="minorHAnsi" w:hAnsi="Arial" w:cs="Arial"/>
        </w:rPr>
        <w:lastRenderedPageBreak/>
        <w:t>camadas de valência. As ligações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intermoleculares são introduzidas dada a sua importância para a compreensão das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propriedades dos materiais. Relativamente a forma das moléculas (geometria e estrutura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tridimensional) os alunos devem começar a interpretar e a distinguir estruturas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tridimensionais identificando grupos funcionais. Mais importante do que o domínio da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nomenclatura da química orgânica e a capacidade de distinguir estruturas de moléculas e de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lhes atribuir um significado químico.</w:t>
      </w:r>
    </w:p>
    <w:p w:rsidR="007B41A7" w:rsidRPr="00D40E7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A enorme utilidade da química no mundo atual aponta para um futuro sustentável em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áreas vitais para a sociedade (energia, recursos naturais, saúde, alimentação, novos materiais,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entre outros) através de avanços significativos na síntese química, na química analítica, na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química computacional, na química biológica e na tecnologia química. Estes aspetos devem,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por isso, ser valorizados, procurando-se que os alunos reconheçam algumas aplicações e outros resultados de investigação que tenham impacto na sociedade e no ambiente.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  <w:r w:rsidRPr="00D40E7A">
        <w:rPr>
          <w:rFonts w:ascii="Arial" w:eastAsiaTheme="minorHAnsi" w:hAnsi="Arial" w:cs="Arial"/>
        </w:rPr>
        <w:t>Apresentam-se a sequência de conteúdos dos 10</w:t>
      </w:r>
      <w:r>
        <w:rPr>
          <w:rFonts w:ascii="Arial" w:eastAsiaTheme="minorHAnsi" w:hAnsi="Arial" w:cs="Arial"/>
        </w:rPr>
        <w:t>.º</w:t>
      </w:r>
      <w:r w:rsidRPr="00D40E7A">
        <w:rPr>
          <w:rFonts w:ascii="Arial" w:eastAsiaTheme="minorHAnsi" w:hAnsi="Arial" w:cs="Arial"/>
        </w:rPr>
        <w:t xml:space="preserve"> e 11</w:t>
      </w:r>
      <w:r>
        <w:rPr>
          <w:rFonts w:ascii="Arial" w:eastAsiaTheme="minorHAnsi" w:hAnsi="Arial" w:cs="Arial"/>
        </w:rPr>
        <w:t>.º</w:t>
      </w:r>
      <w:r w:rsidRPr="00D40E7A">
        <w:rPr>
          <w:rFonts w:ascii="Arial" w:eastAsiaTheme="minorHAnsi" w:hAnsi="Arial" w:cs="Arial"/>
        </w:rPr>
        <w:t xml:space="preserve"> anos, os objetivos gerais, algumas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orientações e sugestões, e uma previsão da distribuição por tempos letivos. As atividades</w:t>
      </w:r>
      <w:r>
        <w:rPr>
          <w:rFonts w:ascii="Arial" w:eastAsiaTheme="minorHAnsi" w:hAnsi="Arial" w:cs="Arial"/>
        </w:rPr>
        <w:t xml:space="preserve"> </w:t>
      </w:r>
      <w:r w:rsidRPr="00D40E7A">
        <w:rPr>
          <w:rFonts w:ascii="Arial" w:eastAsiaTheme="minorHAnsi" w:hAnsi="Arial" w:cs="Arial"/>
        </w:rPr>
        <w:t>laboratoriais (designadas por AL) aparecem identificadas nos respetivos subdomínios.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</w:rPr>
      </w:pPr>
    </w:p>
    <w:p w:rsidR="007B41A7" w:rsidRPr="00F57DA3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b/>
        </w:rPr>
      </w:pPr>
      <w:r w:rsidRPr="00F57DA3">
        <w:rPr>
          <w:rFonts w:ascii="Arial" w:eastAsiaTheme="minorHAnsi" w:hAnsi="Arial" w:cs="Arial"/>
          <w:b/>
        </w:rPr>
        <w:t>6.2 Componente de Química – 10</w:t>
      </w:r>
      <w:r>
        <w:rPr>
          <w:rFonts w:ascii="Arial" w:eastAsiaTheme="minorHAnsi" w:hAnsi="Arial" w:cs="Arial"/>
          <w:b/>
        </w:rPr>
        <w:t>.º</w:t>
      </w:r>
      <w:r w:rsidRPr="00F57DA3">
        <w:rPr>
          <w:rFonts w:ascii="Arial" w:eastAsiaTheme="minorHAnsi" w:hAnsi="Arial" w:cs="Arial"/>
          <w:b/>
        </w:rPr>
        <w:t xml:space="preserve"> ano</w:t>
      </w:r>
    </w:p>
    <w:p w:rsidR="007B41A7" w:rsidRPr="008E4F8A" w:rsidRDefault="007B41A7" w:rsidP="007B41A7">
      <w:pPr>
        <w:spacing w:line="276" w:lineRule="auto"/>
        <w:jc w:val="both"/>
        <w:rPr>
          <w:rFonts w:ascii="Arial" w:hAnsi="Arial" w:cs="Arial"/>
          <w:lang w:val="pt-BR"/>
        </w:rPr>
      </w:pPr>
    </w:p>
    <w:p w:rsidR="007B41A7" w:rsidRDefault="007B41A7" w:rsidP="007B41A7">
      <w:pPr>
        <w:spacing w:line="276" w:lineRule="auto"/>
        <w:jc w:val="both"/>
        <w:rPr>
          <w:rFonts w:ascii="Arial" w:hAnsi="Arial" w:cs="Arial"/>
          <w:lang w:val="pt-BR"/>
        </w:rPr>
      </w:pPr>
      <w:r w:rsidRPr="008E4F8A">
        <w:rPr>
          <w:rFonts w:ascii="Arial" w:hAnsi="Arial" w:cs="Arial"/>
          <w:lang w:val="pt-BR"/>
        </w:rPr>
        <w:t>Na</w:t>
      </w:r>
      <w:r>
        <w:rPr>
          <w:rFonts w:ascii="Arial" w:hAnsi="Arial" w:cs="Arial"/>
          <w:lang w:val="pt-BR"/>
        </w:rPr>
        <w:t>s</w:t>
      </w:r>
      <w:r w:rsidRPr="008E4F8A">
        <w:rPr>
          <w:rFonts w:ascii="Arial" w:hAnsi="Arial" w:cs="Arial"/>
          <w:lang w:val="pt-BR"/>
        </w:rPr>
        <w:t xml:space="preserve"> Tabela</w:t>
      </w:r>
      <w:r>
        <w:rPr>
          <w:rFonts w:ascii="Arial" w:hAnsi="Arial" w:cs="Arial"/>
          <w:lang w:val="pt-BR"/>
        </w:rPr>
        <w:t>s</w:t>
      </w:r>
      <w:r w:rsidRPr="008E4F8A">
        <w:rPr>
          <w:rFonts w:ascii="Arial" w:hAnsi="Arial" w:cs="Arial"/>
          <w:lang w:val="pt-BR"/>
        </w:rPr>
        <w:t xml:space="preserve"> que se segue</w:t>
      </w:r>
      <w:r>
        <w:rPr>
          <w:rFonts w:ascii="Arial" w:hAnsi="Arial" w:cs="Arial"/>
          <w:lang w:val="pt-BR"/>
        </w:rPr>
        <w:t>, apresentam-se os domínios e respetivos subdomínios, com uma previsão do número de aulas, conteúdos que os compõem e algumas orientações e sugestões.</w:t>
      </w: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br w:type="page"/>
      </w: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  <w:sectPr w:rsidR="007B41A7" w:rsidSect="007B41A7">
          <w:footerReference w:type="default" r:id="rId9"/>
          <w:pgSz w:w="11906" w:h="16838"/>
          <w:pgMar w:top="1021" w:right="1588" w:bottom="1021" w:left="1871" w:header="567" w:footer="340" w:gutter="0"/>
          <w:pgNumType w:start="1"/>
          <w:cols w:space="708"/>
          <w:docGrid w:linePitch="360"/>
        </w:sectPr>
      </w:pPr>
    </w:p>
    <w:p w:rsidR="007B41A7" w:rsidRDefault="007B41A7" w:rsidP="007B41A7">
      <w:pPr>
        <w:tabs>
          <w:tab w:val="left" w:pos="1242"/>
          <w:tab w:val="left" w:pos="2943"/>
          <w:tab w:val="left" w:pos="3794"/>
          <w:tab w:val="left" w:pos="6204"/>
          <w:tab w:val="left" w:pos="8472"/>
        </w:tabs>
        <w:spacing w:after="240"/>
        <w:rPr>
          <w:rFonts w:ascii="Arial" w:hAnsi="Arial" w:cs="Arial"/>
          <w:b/>
          <w:bCs/>
          <w:iCs/>
          <w:sz w:val="32"/>
          <w:szCs w:val="32"/>
        </w:rPr>
      </w:pPr>
      <w:r w:rsidRPr="002942F1">
        <w:rPr>
          <w:rFonts w:ascii="Arial" w:hAnsi="Arial" w:cs="Arial"/>
          <w:b/>
          <w:sz w:val="32"/>
          <w:szCs w:val="32"/>
          <w:lang w:val="pt-BR"/>
        </w:rPr>
        <w:lastRenderedPageBreak/>
        <w:t>Domínio</w:t>
      </w:r>
      <w:r>
        <w:rPr>
          <w:rFonts w:ascii="Arial" w:hAnsi="Arial" w:cs="Arial"/>
          <w:b/>
          <w:sz w:val="32"/>
          <w:szCs w:val="32"/>
          <w:lang w:val="pt-BR"/>
        </w:rPr>
        <w:t xml:space="preserve"> 1</w:t>
      </w:r>
      <w:r w:rsidRPr="002942F1">
        <w:rPr>
          <w:rFonts w:ascii="Arial" w:hAnsi="Arial" w:cs="Arial"/>
          <w:b/>
          <w:sz w:val="32"/>
          <w:szCs w:val="32"/>
          <w:lang w:val="pt-BR"/>
        </w:rPr>
        <w:t xml:space="preserve">: </w:t>
      </w:r>
      <w:r w:rsidRPr="002942F1">
        <w:rPr>
          <w:rFonts w:ascii="Arial" w:hAnsi="Arial" w:cs="Arial"/>
          <w:b/>
          <w:bCs/>
          <w:iCs/>
          <w:sz w:val="32"/>
          <w:szCs w:val="32"/>
        </w:rPr>
        <w:t>Elementos</w:t>
      </w:r>
      <w:r w:rsidRPr="00342938">
        <w:rPr>
          <w:rFonts w:ascii="Arial" w:hAnsi="Arial" w:cs="Arial"/>
          <w:b/>
          <w:bCs/>
          <w:iCs/>
          <w:sz w:val="32"/>
          <w:szCs w:val="32"/>
        </w:rPr>
        <w:t xml:space="preserve"> químicos e sua organização</w:t>
      </w:r>
    </w:p>
    <w:p w:rsidR="007B41A7" w:rsidRPr="002942F1" w:rsidRDefault="007B41A7" w:rsidP="007B41A7">
      <w:pPr>
        <w:tabs>
          <w:tab w:val="left" w:pos="1668"/>
          <w:tab w:val="left" w:pos="2518"/>
          <w:tab w:val="left" w:pos="4926"/>
          <w:tab w:val="left" w:pos="9322"/>
        </w:tabs>
        <w:spacing w:line="276" w:lineRule="auto"/>
        <w:jc w:val="both"/>
        <w:rPr>
          <w:rFonts w:ascii="Arial" w:hAnsi="Arial" w:cs="Arial"/>
          <w:b/>
          <w:lang w:val="pt-BR"/>
        </w:rPr>
      </w:pP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2408"/>
        <w:gridCol w:w="4396"/>
        <w:gridCol w:w="5690"/>
      </w:tblGrid>
      <w:tr w:rsidR="007B41A7" w:rsidRPr="00342938" w:rsidTr="00145D5D">
        <w:tc>
          <w:tcPr>
            <w:tcW w:w="556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RPr="00342938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2942F1" w:rsidRDefault="007B41A7" w:rsidP="00145D5D">
            <w:pPr>
              <w:ind w:left="113" w:right="113"/>
              <w:jc w:val="center"/>
              <w:rPr>
                <w:rFonts w:ascii="Arial" w:hAnsi="Arial" w:cs="Arial"/>
                <w:sz w:val="32"/>
                <w:szCs w:val="32"/>
                <w:lang w:val="pt-BR"/>
              </w:rPr>
            </w:pPr>
            <w:r w:rsidRPr="002942F1">
              <w:rPr>
                <w:rFonts w:ascii="Arial" w:eastAsiaTheme="minorHAnsi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Massa e tamanho dos átomos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Pr="00342938" w:rsidRDefault="007B41A7" w:rsidP="00145D5D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42938"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5</w:t>
            </w:r>
          </w:p>
        </w:tc>
        <w:tc>
          <w:tcPr>
            <w:tcW w:w="802" w:type="pct"/>
          </w:tcPr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Consolidar e ampliar conhecimentos sobre elementos químicos e dimensões a escala atómica.</w:t>
            </w:r>
          </w:p>
        </w:tc>
        <w:tc>
          <w:tcPr>
            <w:tcW w:w="1464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- 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Ordens de grandeza e escalas de comprimento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Dimensões a escala atómica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Massa isotópica e massa atómica relativa média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Quantidade de matéria e massa molar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F</w:t>
            </w:r>
            <w:r w:rsidRPr="00342938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ração molar e fração mássica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2942F1" w:rsidRDefault="007B41A7" w:rsidP="00145D5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2942F1">
              <w:rPr>
                <w:rFonts w:ascii="Arial" w:eastAsiaTheme="minorHAnsi" w:hAnsi="Arial" w:cs="Arial"/>
                <w:b/>
                <w:color w:val="000000"/>
                <w:sz w:val="20"/>
                <w:szCs w:val="20"/>
              </w:rPr>
              <w:t>AL 1.1. Volume e numero de moléculas de uma gota de agua</w:t>
            </w: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Como indício experimental da existência de átomos sugere-se a observação de movimentos brownianos.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A grande diferença de densidades entre as fases condensadas e gasosa de um material pode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também </w:t>
            </w: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propiciar uma reflexão sobre a existência de átomos e as suas dimensões. Estas abordagens permitem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uma contextualização histórica do assunto, que vai de Brown a Einstein, passando por </w:t>
            </w:r>
            <w:proofErr w:type="spellStart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>Avogadro</w:t>
            </w:r>
            <w:proofErr w:type="spellEnd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 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>Loschmidt</w:t>
            </w:r>
            <w:proofErr w:type="spellEnd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>.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Para avaliar as dimensões a escala atómica podem analisar-se imagens de microscopia de alta resolução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as quais estejam associadas escalas ou fatores de ampliação.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Pode-se também recorrer a informação sobre a presença de </w:t>
            </w:r>
            <w:proofErr w:type="spellStart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>nanoparticulas</w:t>
            </w:r>
            <w:proofErr w:type="spellEnd"/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 em situações comuns 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342938">
              <w:rPr>
                <w:rFonts w:ascii="Arial" w:eastAsiaTheme="minorHAnsi" w:hAnsi="Arial" w:cs="Arial"/>
                <w:sz w:val="20"/>
                <w:szCs w:val="20"/>
              </w:rPr>
              <w:t xml:space="preserve">sobre aplicações que resultem da manipulação da matéria a escala atómica. 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A análise das vantagens 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342938">
              <w:rPr>
                <w:rFonts w:ascii="Arial" w:eastAsiaTheme="minorHAnsi" w:hAnsi="Arial" w:cs="Arial"/>
                <w:sz w:val="20"/>
                <w:szCs w:val="20"/>
              </w:rPr>
              <w:t>riscos da nanotecnologia possibilita a reflexão sobre as relações entre ciência e sociedade.</w:t>
            </w: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</w:tbl>
    <w:p w:rsidR="007B41A7" w:rsidRPr="002942F1" w:rsidRDefault="007B41A7" w:rsidP="007B41A7">
      <w:pPr>
        <w:tabs>
          <w:tab w:val="left" w:pos="1668"/>
          <w:tab w:val="left" w:pos="2518"/>
          <w:tab w:val="left" w:pos="4926"/>
          <w:tab w:val="left" w:pos="9322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</w:p>
    <w:p w:rsidR="007B41A7" w:rsidRPr="002942F1" w:rsidRDefault="007B41A7" w:rsidP="007B41A7">
      <w:pPr>
        <w:tabs>
          <w:tab w:val="left" w:pos="1668"/>
          <w:tab w:val="left" w:pos="2518"/>
          <w:tab w:val="left" w:pos="4926"/>
          <w:tab w:val="left" w:pos="9322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</w:p>
    <w:p w:rsidR="007B41A7" w:rsidRDefault="007B41A7" w:rsidP="007B41A7">
      <w:pPr>
        <w:tabs>
          <w:tab w:val="left" w:pos="1668"/>
          <w:tab w:val="left" w:pos="2518"/>
          <w:tab w:val="left" w:pos="4926"/>
          <w:tab w:val="left" w:pos="9322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br w:type="page"/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2408"/>
        <w:gridCol w:w="4396"/>
        <w:gridCol w:w="5690"/>
      </w:tblGrid>
      <w:tr w:rsidR="007B41A7" w:rsidRPr="00342938" w:rsidTr="00145D5D">
        <w:tc>
          <w:tcPr>
            <w:tcW w:w="556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lastRenderedPageBreak/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2942F1" w:rsidRDefault="007B41A7" w:rsidP="00145D5D">
            <w:pPr>
              <w:spacing w:after="200" w:line="276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pt-BR"/>
              </w:rPr>
            </w:pPr>
            <w:r w:rsidRPr="002942F1">
              <w:rPr>
                <w:rFonts w:ascii="Arial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Energia dos eletrões nos átomos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spacing w:after="200" w:line="276" w:lineRule="au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8</w:t>
            </w:r>
          </w:p>
        </w:tc>
        <w:tc>
          <w:tcPr>
            <w:tcW w:w="802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2"/>
                <w:szCs w:val="22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Reconhecer que a energia dos eletrões nos átomos pode ser alterada por absorção ou emissão de energias bem definidas, correspondendo a cada elemento um espetro atómico característico, e que os eletrões nos átomos se podem considerar distribuídos por níveis e subníveis de energia.</w:t>
            </w:r>
          </w:p>
        </w:tc>
        <w:tc>
          <w:tcPr>
            <w:tcW w:w="1464" w:type="pct"/>
          </w:tcPr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2942F1">
              <w:rPr>
                <w:rFonts w:ascii="Arial" w:hAnsi="Arial" w:cs="Arial"/>
                <w:sz w:val="20"/>
                <w:szCs w:val="20"/>
              </w:rPr>
              <w:t>Espetros contínuos e descontínuos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O modelo atómico de Bohr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Transições eletrónicas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quantização de energia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Espetro do átomo de hidrogénio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Energia de remoção eletrónica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Modelo quântico do átomo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níveis e subníveis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orbitais (</w:t>
            </w:r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 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>d</w:t>
            </w:r>
            <w:r w:rsidRPr="002942F1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7B41A7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>spin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Configuração eletrónica de átomos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Princípio da Construção (ou de </w:t>
            </w:r>
            <w:proofErr w:type="spellStart"/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>Aufbau</w:t>
            </w:r>
            <w:proofErr w:type="spellEnd"/>
            <w:r w:rsidRPr="002942F1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Princípio da Exclusão de Pauli</w:t>
            </w: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2942F1">
              <w:rPr>
                <w:rFonts w:ascii="Arial" w:hAnsi="Arial" w:cs="Arial"/>
                <w:b/>
                <w:sz w:val="20"/>
                <w:szCs w:val="20"/>
              </w:rPr>
              <w:t>AL 1.2. Teste de chama</w:t>
            </w: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Recomenda-se a observação de espetros contínuos e descontínuos decompondo a luz com redes de difração ou espetrosc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ó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pios e a visualização de simulações sobre espetroscopia. Sugere-se ainda o uso de tubos de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Pluecker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 para visualizar espetros descontínuos.</w:t>
            </w:r>
          </w:p>
          <w:p w:rsidR="007B41A7" w:rsidRPr="002942F1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Deve recorrer-se a dados da espetroscopia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fotoeletrónica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 (sem exploração nem da técnica nem dos equipamentos) para estabelecer a ordem das energias no estado fundamental de orbitais atómicas ate 4</w:t>
            </w:r>
            <w:r w:rsidRPr="002942F1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s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. Este assunto deve ser abordado sem recurso aos números quânticos.</w:t>
            </w:r>
          </w:p>
          <w:p w:rsidR="007B41A7" w:rsidRPr="002942F1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O Principio da Exclusão de Pauli deve ser apresentado de uma forma simplificada, devendo fazer-se a distribuição eletrónica pelas orbitais degeneradas.</w:t>
            </w:r>
          </w:p>
          <w:p w:rsidR="007B41A7" w:rsidRPr="002942F1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As energias relativas dos subníveis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ele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trónicos ocupados, assim como os números relativos de eletrões em cada subnível, podem ser determinados a partir de espetros obtidos por espetroscopia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fotoeletrónica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 de baixa resolução, enquanto o número máximo de eletrões permitido por orbital e dado pelo Principio da Exclusão de Pauli. A degenerescência das orbitais </w:t>
            </w:r>
            <w:r w:rsidRPr="002942F1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p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e </w:t>
            </w:r>
            <w:r w:rsidRPr="002942F1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d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do mesmo nível pode assim ser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confirmada a partir destes resultados.</w:t>
            </w:r>
          </w:p>
          <w:p w:rsidR="007B41A7" w:rsidRPr="002942F1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As configurações eletrónicas devem ser estabelecidas com base na regra da construção (conhecida por Principio de Construção ou de </w:t>
            </w:r>
            <w:proofErr w:type="spellStart"/>
            <w:r w:rsidRPr="002942F1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Aufbau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) e atendendo a maximização do numero de eletrões desemparelhados (conhecida como regra de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Hund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).</w:t>
            </w:r>
          </w:p>
        </w:tc>
      </w:tr>
    </w:tbl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br w:type="page"/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2408"/>
        <w:gridCol w:w="4396"/>
        <w:gridCol w:w="5690"/>
      </w:tblGrid>
      <w:tr w:rsidR="007B41A7" w:rsidRPr="00342938" w:rsidTr="00145D5D">
        <w:tc>
          <w:tcPr>
            <w:tcW w:w="556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lastRenderedPageBreak/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2942F1" w:rsidRDefault="007B41A7" w:rsidP="00145D5D">
            <w:pPr>
              <w:spacing w:after="200" w:line="276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pt-BR"/>
              </w:rPr>
            </w:pPr>
            <w:r w:rsidRPr="002942F1">
              <w:rPr>
                <w:rFonts w:ascii="Arial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Tabela Periódica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spacing w:after="200" w:line="276" w:lineRule="au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4</w:t>
            </w:r>
          </w:p>
        </w:tc>
        <w:tc>
          <w:tcPr>
            <w:tcW w:w="802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Reconhecer na Tabela Periódica um meio organizador de informação sobre os elementos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químicos e respetivas substancias elementares e compreender que a estrutura eletrónica dos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átomos determina as propriedades dos elementos.</w:t>
            </w:r>
          </w:p>
        </w:tc>
        <w:tc>
          <w:tcPr>
            <w:tcW w:w="1464" w:type="pct"/>
          </w:tcPr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Evolução histórica da Tabela Periódica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Estrutura da Tabela Periódica: grupos, períodos e blocos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Elementos representativos e de transição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Famílias de metais e de </w:t>
            </w:r>
            <w:proofErr w:type="spellStart"/>
            <w:r w:rsidRPr="002942F1">
              <w:rPr>
                <w:rFonts w:ascii="Arial" w:hAnsi="Arial" w:cs="Arial"/>
                <w:sz w:val="20"/>
                <w:szCs w:val="20"/>
              </w:rPr>
              <w:t>não-metais</w:t>
            </w:r>
            <w:proofErr w:type="spellEnd"/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Propriedades periódicas dos elementos representativos</w:t>
            </w:r>
          </w:p>
          <w:p w:rsidR="007B41A7" w:rsidRPr="002942F1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raio atómico</w:t>
            </w:r>
          </w:p>
          <w:p w:rsidR="007B41A7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942F1">
              <w:rPr>
                <w:rFonts w:ascii="Arial" w:hAnsi="Arial" w:cs="Arial"/>
                <w:sz w:val="20"/>
                <w:szCs w:val="20"/>
              </w:rPr>
              <w:t xml:space="preserve"> energia de ionização</w:t>
            </w:r>
          </w:p>
          <w:p w:rsidR="007B41A7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42F1">
              <w:rPr>
                <w:rFonts w:ascii="Arial" w:hAnsi="Arial" w:cs="Arial"/>
                <w:b/>
                <w:sz w:val="20"/>
                <w:szCs w:val="20"/>
              </w:rPr>
              <w:t>AL 1.3. Densidade relativa de metais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Devem relembrar-se os principais contributos para a evolução da Tabela Periódica (de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Dobereiner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Moseley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, passando por </w:t>
            </w:r>
            <w:proofErr w:type="spellStart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Mendeleev</w:t>
            </w:r>
            <w:proofErr w:type="spellEnd"/>
            <w:r w:rsidRPr="002942F1">
              <w:rPr>
                <w:rFonts w:ascii="Arial" w:eastAsiaTheme="minorHAnsi" w:hAnsi="Arial" w:cs="Arial"/>
                <w:sz w:val="20"/>
                <w:szCs w:val="20"/>
              </w:rPr>
              <w:t>, e avançando at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é à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 xml:space="preserve"> atualidade), podendo realçar-se 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fundamentação e discussão das propostas que foram surgindo e o facto de a Tabela Periódica ser um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documento aberto a incorporação de novos elementos químicos e de novos conhecimentos. Essa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abordagem permite mostrar o modo como a ciência evolui.</w:t>
            </w:r>
          </w:p>
          <w:p w:rsidR="007B41A7" w:rsidRPr="002942F1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A diversidade de materiais existentes na Natureza mostra que a maioria dos elementos químicos se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encontra na forma combinada (formando substancias elementares ou compostas) e que um numero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2942F1">
              <w:rPr>
                <w:rFonts w:ascii="Arial" w:eastAsiaTheme="minorHAnsi" w:hAnsi="Arial" w:cs="Arial"/>
                <w:sz w:val="20"/>
                <w:szCs w:val="20"/>
              </w:rPr>
              <w:t>relativamente pequeno de elementos esta na origem de milhões de substancias naturais e artificiais.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br w:type="page"/>
      </w:r>
    </w:p>
    <w:p w:rsidR="007B41A7" w:rsidRPr="00B21274" w:rsidRDefault="007B41A7" w:rsidP="007B41A7">
      <w:pPr>
        <w:tabs>
          <w:tab w:val="left" w:pos="1242"/>
          <w:tab w:val="left" w:pos="2943"/>
          <w:tab w:val="left" w:pos="3794"/>
          <w:tab w:val="left" w:pos="6204"/>
          <w:tab w:val="left" w:pos="8472"/>
        </w:tabs>
        <w:spacing w:after="240"/>
        <w:rPr>
          <w:rFonts w:ascii="Arial" w:hAnsi="Arial" w:cs="Arial"/>
          <w:b/>
          <w:bCs/>
          <w:iCs/>
          <w:sz w:val="32"/>
          <w:szCs w:val="32"/>
        </w:rPr>
      </w:pPr>
      <w:r w:rsidRPr="00B21274">
        <w:rPr>
          <w:rFonts w:ascii="Arial" w:hAnsi="Arial" w:cs="Arial"/>
          <w:b/>
          <w:sz w:val="32"/>
          <w:szCs w:val="32"/>
          <w:lang w:val="pt-BR"/>
        </w:rPr>
        <w:lastRenderedPageBreak/>
        <w:t xml:space="preserve">Domínio 2: </w:t>
      </w:r>
      <w:r w:rsidRPr="00B21274">
        <w:rPr>
          <w:rFonts w:ascii="Arial" w:hAnsi="Arial" w:cs="Arial"/>
          <w:b/>
          <w:bCs/>
          <w:iCs/>
          <w:sz w:val="32"/>
          <w:szCs w:val="32"/>
        </w:rPr>
        <w:t>Propriedades e transformações da matéria</w:t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2408"/>
        <w:gridCol w:w="4396"/>
        <w:gridCol w:w="5690"/>
      </w:tblGrid>
      <w:tr w:rsidR="007B41A7" w:rsidRPr="00342938" w:rsidTr="00145D5D">
        <w:trPr>
          <w:trHeight w:val="530"/>
        </w:trPr>
        <w:tc>
          <w:tcPr>
            <w:tcW w:w="556" w:type="pct"/>
          </w:tcPr>
          <w:p w:rsidR="007B41A7" w:rsidRPr="00342938" w:rsidRDefault="007B41A7" w:rsidP="00145D5D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RPr="00342938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B21274" w:rsidRDefault="007B41A7" w:rsidP="00145D5D">
            <w:pPr>
              <w:ind w:left="113" w:right="113"/>
              <w:jc w:val="center"/>
              <w:rPr>
                <w:rFonts w:ascii="Arial" w:hAnsi="Arial" w:cs="Arial"/>
                <w:sz w:val="32"/>
                <w:szCs w:val="32"/>
                <w:lang w:val="pt-BR"/>
              </w:rPr>
            </w:pPr>
            <w:r w:rsidRPr="00B21274">
              <w:rPr>
                <w:rFonts w:ascii="Arial" w:eastAsiaTheme="minorHAnsi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Ligação química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Pr="00342938" w:rsidRDefault="007B41A7" w:rsidP="00145D5D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10</w:t>
            </w:r>
          </w:p>
        </w:tc>
        <w:tc>
          <w:tcPr>
            <w:tcW w:w="802" w:type="pct"/>
          </w:tcPr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Compreender que as propriedades das moléculas e materiais são determinadas pelo tipo de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átomos, pela energia das ligações e pela geometria das moléculas.</w:t>
            </w:r>
          </w:p>
        </w:tc>
        <w:tc>
          <w:tcPr>
            <w:tcW w:w="1464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Tipos de ligações químicas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Ligação covalente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estruturas de Lewis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energia de ligação e comprimento de ligação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polaridade das ligações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geometria molecular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polaridade das moléculas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estruturas de moléculas orgânicas e biológicas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Ligações intermoleculares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ligações de hidrogénio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ligações de van der </w:t>
            </w:r>
            <w:proofErr w:type="spellStart"/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Waals</w:t>
            </w:r>
            <w:proofErr w:type="spellEnd"/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(de London, entre moléculas polares e entre moléculas</w:t>
            </w: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polares e apolares)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21274">
              <w:rPr>
                <w:rFonts w:ascii="Arial" w:eastAsiaTheme="minorHAnsi" w:hAnsi="Arial" w:cs="Arial"/>
                <w:b/>
                <w:color w:val="000000"/>
                <w:sz w:val="20"/>
                <w:szCs w:val="20"/>
              </w:rPr>
              <w:t>AL 2.1. Miscibilidade de líquidos</w:t>
            </w: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A ligação química deve ser considerada um conceito unificador: a energia de um conjunto de átomos ou moléculas ligados e menor do que a energia dos átomos ou moléculas separados, como resultado das atracões e repulsões envolvendo eletrões e núcleos atómicos.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2"/>
                <w:szCs w:val="12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Devem ser estudadas duas situações quanto ao tipo de ligação química: (a) partilha significativa de eletrões entre os átomos (ligações iónica, covalente e metálica) e (b) partilha pouco significativa de eletrões entre os átomos ou moléculas (ligações intermoleculares de van der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Waals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 e ligações de hidrogénio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).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2"/>
                <w:szCs w:val="12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A identificação da partilha de eletrões pode ser relacionada qualitativamente com representações da densidade eletrónica das moléculas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2"/>
                <w:szCs w:val="12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A ligação iónica deve ser apresentada como uma ligação em que a partilha de eletrões da origem a uma cedência significativa de eletrões entre átomos, podendo realçar-se que essas estruturas com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caráter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 iónico se dissociam em iões em solução ou por mudança de estado físico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A polaridade das moléculas deve ser abordada sem recorrer ao conceito de momento dipolar. Pode destacar-se que a assimetria na distribuição da carga elétrica se traduz na polaridade da molécula, por exemplo, a partir de representações das densidades eletrónicas 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de moléculas.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Mais importante do que a identificação dos vários tipos de forcas de van der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Waals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 será a aquisição pelos alunos da noção de que, para qualquer tipo de molécula, incluindo as moléculas não polares e os átomos de gases nobres, existe atracão entre estas por forcas de London e que, em moléculas polares, a estas atracões se somam as atracões entre as distribuições assimétricas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 xml:space="preserve"> de carga.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Sugere-se a aplicação dos conhecimentos sobre ligação química e geometria molecular na análise e interpretação de estruturas moleculares de substâncias presentes nos alimentos, em medicamentos, entre outros, sem exploração da nomenclatura correspondente a essas moléculas.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  <w:p w:rsidR="007B41A7" w:rsidRPr="00342938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16"/>
                <w:szCs w:val="16"/>
              </w:rPr>
              <w:t>A relação entre as miscibilidades e o tipo de ligações intermoleculares deve ser apresentada como uma relação genérica cuja explicação e complexa, por depender de múltiplos fatores, não sendo necessário fornecer essa explicação aos alunos.</w:t>
            </w:r>
          </w:p>
        </w:tc>
      </w:tr>
      <w:tr w:rsidR="007B41A7" w:rsidRPr="00342938" w:rsidTr="00145D5D">
        <w:tc>
          <w:tcPr>
            <w:tcW w:w="556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lastRenderedPageBreak/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B21274" w:rsidRDefault="007B41A7" w:rsidP="00145D5D">
            <w:pPr>
              <w:spacing w:after="200" w:line="276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pt-BR"/>
              </w:rPr>
            </w:pPr>
            <w:r w:rsidRPr="00B21274">
              <w:rPr>
                <w:rFonts w:ascii="Arial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Gases e dispersões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spacing w:after="200" w:line="276" w:lineRule="au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8</w:t>
            </w:r>
          </w:p>
        </w:tc>
        <w:tc>
          <w:tcPr>
            <w:tcW w:w="802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</w:rPr>
            </w:pP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Reconhecer que muitos materiais se apresentam na forma de dispersões que podem ser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rPr>
                <w:rFonts w:ascii="Arial" w:hAnsi="Arial" w:cs="Arial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caracterizadas quanto a sua composição.</w:t>
            </w:r>
          </w:p>
        </w:tc>
        <w:tc>
          <w:tcPr>
            <w:tcW w:w="1464" w:type="pct"/>
          </w:tcPr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Lei de </w:t>
            </w:r>
            <w:proofErr w:type="spellStart"/>
            <w:r w:rsidRPr="00B21274">
              <w:rPr>
                <w:rFonts w:ascii="Arial" w:hAnsi="Arial" w:cs="Arial"/>
                <w:sz w:val="20"/>
                <w:szCs w:val="20"/>
              </w:rPr>
              <w:t>Avogadro</w:t>
            </w:r>
            <w:proofErr w:type="spellEnd"/>
            <w:r w:rsidRPr="00B21274">
              <w:rPr>
                <w:rFonts w:ascii="Arial" w:hAnsi="Arial" w:cs="Arial"/>
                <w:sz w:val="20"/>
                <w:szCs w:val="20"/>
              </w:rPr>
              <w:t>, volume molar e massa volúmica</w:t>
            </w: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Soluções, coloides e suspensões</w:t>
            </w: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Composição quantitativa de soluções</w:t>
            </w:r>
          </w:p>
          <w:p w:rsidR="007B41A7" w:rsidRPr="00B21274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concentração em massa</w:t>
            </w:r>
          </w:p>
          <w:p w:rsidR="007B41A7" w:rsidRPr="00B21274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concentração</w:t>
            </w:r>
          </w:p>
          <w:p w:rsidR="007B41A7" w:rsidRPr="00B21274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percentagem em volume e percentagem em massa</w:t>
            </w:r>
          </w:p>
          <w:p w:rsidR="007B41A7" w:rsidRDefault="007B41A7" w:rsidP="00145D5D">
            <w:pPr>
              <w:spacing w:line="276" w:lineRule="auto"/>
              <w:ind w:firstLine="17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partes por milhão</w:t>
            </w: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B21274">
              <w:rPr>
                <w:rFonts w:ascii="Arial" w:hAnsi="Arial" w:cs="Arial"/>
                <w:sz w:val="20"/>
                <w:szCs w:val="20"/>
              </w:rPr>
              <w:t xml:space="preserve"> Diluição de soluções aquosas</w:t>
            </w: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21274">
              <w:rPr>
                <w:rFonts w:ascii="Arial" w:hAnsi="Arial" w:cs="Arial"/>
                <w:b/>
                <w:sz w:val="20"/>
                <w:szCs w:val="20"/>
              </w:rPr>
              <w:t xml:space="preserve">AL 2.2. Soluções a partir de solutos </w:t>
            </w:r>
            <w:r>
              <w:rPr>
                <w:rFonts w:ascii="Arial" w:hAnsi="Arial" w:cs="Arial"/>
                <w:b/>
                <w:sz w:val="20"/>
                <w:szCs w:val="20"/>
              </w:rPr>
              <w:t>sólidos</w:t>
            </w: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21274">
              <w:rPr>
                <w:rFonts w:ascii="Arial" w:hAnsi="Arial" w:cs="Arial"/>
                <w:b/>
                <w:sz w:val="20"/>
                <w:szCs w:val="20"/>
              </w:rPr>
              <w:t>AL 2.3. Diluição de soluções</w:t>
            </w:r>
          </w:p>
          <w:p w:rsidR="007B41A7" w:rsidRPr="002942F1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A abordagem destes conteúdos pode partir da descrição da atmosfera da Terra, no que respeita 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presença de gases, com realce para a composição quantitativa média da troposfera, para análises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químicas da qualidade do ar e o aumento do efeito de estufa.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pt-BR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Outros contextos igualmente pertinentes, por estarem relacionados com o quotidiano e a sociedade,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em particular com a informação e a defesa do consumidor, podem ser encontrados nas indústrias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farmacêutica, alimentar e de cosméticos, na saúde e qualidade da água, entre outros. A análise, por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exemplo, de bulas de medicamentos, de rótulos e de relatórios de análises pode contribuir para motivar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os alunos e sensibiliza-los para a importância da interpretação de informação química necessária ao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esclarecimento dos consumidores.</w:t>
            </w:r>
          </w:p>
        </w:tc>
      </w:tr>
    </w:tbl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br w:type="page"/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2408"/>
        <w:gridCol w:w="4396"/>
        <w:gridCol w:w="5690"/>
      </w:tblGrid>
      <w:tr w:rsidR="007B41A7" w:rsidRPr="00342938" w:rsidTr="00145D5D">
        <w:tc>
          <w:tcPr>
            <w:tcW w:w="556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lastRenderedPageBreak/>
              <w:t>Subdomínio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Nº aulas</w:t>
            </w:r>
          </w:p>
        </w:tc>
        <w:tc>
          <w:tcPr>
            <w:tcW w:w="802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14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Conteúdos</w:t>
            </w:r>
          </w:p>
        </w:tc>
        <w:tc>
          <w:tcPr>
            <w:tcW w:w="1895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Orientações e sugestões</w:t>
            </w:r>
          </w:p>
        </w:tc>
      </w:tr>
      <w:tr w:rsidR="007B41A7" w:rsidTr="00145D5D">
        <w:trPr>
          <w:cantSplit/>
          <w:trHeight w:val="1134"/>
        </w:trPr>
        <w:tc>
          <w:tcPr>
            <w:tcW w:w="556" w:type="pct"/>
            <w:textDirection w:val="btLr"/>
            <w:vAlign w:val="center"/>
          </w:tcPr>
          <w:p w:rsidR="007B41A7" w:rsidRPr="00B21274" w:rsidRDefault="007B41A7" w:rsidP="00145D5D">
            <w:pPr>
              <w:spacing w:after="200" w:line="276" w:lineRule="auto"/>
              <w:ind w:left="113" w:right="113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pt-BR"/>
              </w:rPr>
            </w:pPr>
            <w:r w:rsidRPr="00B21274">
              <w:rPr>
                <w:rFonts w:ascii="Arial" w:hAnsi="Arial" w:cs="Arial"/>
                <w:b/>
                <w:bCs/>
                <w:iCs/>
                <w:color w:val="000000" w:themeColor="text1"/>
                <w:sz w:val="32"/>
                <w:szCs w:val="32"/>
              </w:rPr>
              <w:t>Transformações químicas</w:t>
            </w:r>
          </w:p>
        </w:tc>
        <w:tc>
          <w:tcPr>
            <w:tcW w:w="283" w:type="pct"/>
          </w:tcPr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Pr="00342938" w:rsidRDefault="007B41A7" w:rsidP="00145D5D">
            <w:pPr>
              <w:jc w:val="both"/>
              <w:rPr>
                <w:rFonts w:ascii="Arial" w:eastAsiaTheme="minorHAns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="007B41A7" w:rsidRDefault="007B41A7" w:rsidP="00145D5D">
            <w:pPr>
              <w:spacing w:after="200" w:line="276" w:lineRule="au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eastAsiaTheme="minorHAnsi" w:hAnsi="Arial" w:cs="Arial"/>
                <w:b/>
                <w:bCs/>
                <w:color w:val="000000" w:themeColor="text1"/>
                <w:sz w:val="40"/>
                <w:szCs w:val="40"/>
              </w:rPr>
              <w:t>5</w:t>
            </w:r>
          </w:p>
        </w:tc>
        <w:tc>
          <w:tcPr>
            <w:tcW w:w="802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0"/>
                <w:szCs w:val="20"/>
              </w:rPr>
              <w:t xml:space="preserve">Compreender os fundamentos das Reações químicas, incluindo Reações </w:t>
            </w:r>
            <w:proofErr w:type="spellStart"/>
            <w:r w:rsidRPr="001C2CE9">
              <w:rPr>
                <w:rFonts w:ascii="Arial" w:eastAsiaTheme="minorHAnsi" w:hAnsi="Arial" w:cs="Arial"/>
                <w:sz w:val="20"/>
                <w:szCs w:val="20"/>
              </w:rPr>
              <w:t>fotoquimicas</w:t>
            </w:r>
            <w:proofErr w:type="spellEnd"/>
            <w:r w:rsidRPr="001C2CE9">
              <w:rPr>
                <w:rFonts w:ascii="Arial" w:eastAsiaTheme="minorHAnsi" w:hAnsi="Arial" w:cs="Arial"/>
                <w:sz w:val="20"/>
                <w:szCs w:val="20"/>
              </w:rPr>
              <w:t>, do ponto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0"/>
                <w:szCs w:val="20"/>
              </w:rPr>
              <w:t>de vista energético e da ligação química.</w:t>
            </w:r>
          </w:p>
        </w:tc>
        <w:tc>
          <w:tcPr>
            <w:tcW w:w="1464" w:type="pct"/>
          </w:tcPr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- Energia de ligação e Reações químicas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>-</w:t>
            </w:r>
            <w:r w:rsidRPr="001C2CE9"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processos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endoenergéticos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exoenergético</w:t>
            </w:r>
            <w:proofErr w:type="spellEnd"/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>-</w:t>
            </w:r>
            <w:r w:rsidRPr="001C2CE9"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variação de entalpia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- </w:t>
            </w: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Reações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fotoquimicas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na atmosfera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>-</w:t>
            </w:r>
            <w:r w:rsidRPr="001C2CE9"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 xml:space="preserve"> </w:t>
            </w:r>
            <w:proofErr w:type="spellStart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fotodissociação</w:t>
            </w:r>
            <w:proofErr w:type="spellEnd"/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e fotoionização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>-</w:t>
            </w:r>
            <w:r w:rsidRPr="001C2CE9"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radicais livres e estabilidade das espécies químicas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ind w:firstLine="177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>-</w:t>
            </w:r>
            <w:r w:rsidRPr="001C2CE9">
              <w:rPr>
                <w:rFonts w:ascii="Arial" w:eastAsiaTheme="minorHAnsi" w:hAnsi="Arial" w:cs="Arial"/>
                <w:color w:val="1F497D"/>
                <w:sz w:val="20"/>
                <w:szCs w:val="20"/>
              </w:rPr>
              <w:t xml:space="preserve"> </w:t>
            </w:r>
            <w:r w:rsidRPr="001C2CE9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ozono estratosférico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7B41A7" w:rsidRPr="00B21274" w:rsidRDefault="007B41A7" w:rsidP="00145D5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C2CE9">
              <w:rPr>
                <w:rFonts w:ascii="Arial" w:eastAsiaTheme="minorHAnsi" w:hAnsi="Arial" w:cs="Arial"/>
                <w:b/>
                <w:color w:val="000000"/>
                <w:sz w:val="20"/>
                <w:szCs w:val="20"/>
              </w:rPr>
              <w:t>AL 2.4. Reação fotoquímica</w:t>
            </w:r>
          </w:p>
        </w:tc>
        <w:tc>
          <w:tcPr>
            <w:tcW w:w="1895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A escrita de equações químicas usando fórmulas de estrutura pode ajudar a compreender o que se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 xml:space="preserve">passa na rutura e formação de ligações durante as Reações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químicas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.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Os exemplos a considerar devem incluir substâncias estudadas no subdomínio “Ligação Química”,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podendo ser introduzidas Reações como a combustão de alcanos, a síntese do amoníaco e 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decomposição da água.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O caso particular do ozono, que na troposfera atua como poluente enquanto na estratosfera atua como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protetor, pode ser explorado nos aspetos cientifico, tecnológico, social e ambiental. A formação 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destruição do ozono estratosf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é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rico podem ser abordadas através da questão da camada de ozono.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 xml:space="preserve">Podem discutir-se as vantagens e desvantagens proporcionadas pelos </w:t>
            </w:r>
            <w:proofErr w:type="spellStart"/>
            <w:r w:rsidRPr="00B21274">
              <w:rPr>
                <w:rFonts w:ascii="Arial" w:eastAsiaTheme="minorHAnsi" w:hAnsi="Arial" w:cs="Arial"/>
                <w:sz w:val="20"/>
                <w:szCs w:val="20"/>
              </w:rPr>
              <w:t>clorofluorocarbonetos</w:t>
            </w:r>
            <w:proofErr w:type="spellEnd"/>
            <w:r w:rsidRPr="00B21274">
              <w:rPr>
                <w:rFonts w:ascii="Arial" w:eastAsiaTheme="minorHAnsi" w:hAnsi="Arial" w:cs="Arial"/>
                <w:sz w:val="20"/>
                <w:szCs w:val="20"/>
              </w:rPr>
              <w:t xml:space="preserve"> (CFC),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assim como dos seus substitutos, com base em informação selecionada.</w:t>
            </w:r>
          </w:p>
          <w:p w:rsidR="007B41A7" w:rsidRPr="00B21274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</w:rPr>
            </w:pP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Também podem ser utilizadas as aplicações da fotoquímica em diferentes áreas como, por exemplo, a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21274">
              <w:rPr>
                <w:rFonts w:ascii="Arial" w:eastAsiaTheme="minorHAnsi" w:hAnsi="Arial" w:cs="Arial"/>
                <w:sz w:val="20"/>
                <w:szCs w:val="20"/>
              </w:rPr>
              <w:t>medicina, a arte e a produção de energia.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7B41A7" w:rsidRDefault="007B41A7" w:rsidP="007B41A7">
      <w:pPr>
        <w:spacing w:after="200" w:line="276" w:lineRule="auto"/>
        <w:rPr>
          <w:rFonts w:ascii="Arial" w:hAnsi="Arial" w:cs="Arial"/>
          <w:lang w:val="pt-BR"/>
        </w:rPr>
      </w:pPr>
    </w:p>
    <w:p w:rsidR="007B41A7" w:rsidRPr="008E4F8A" w:rsidRDefault="007B41A7" w:rsidP="007B41A7">
      <w:pPr>
        <w:spacing w:line="276" w:lineRule="auto"/>
        <w:jc w:val="both"/>
        <w:rPr>
          <w:rFonts w:ascii="Arial" w:hAnsi="Arial" w:cs="Arial"/>
          <w:lang w:val="pt-BR"/>
        </w:rPr>
      </w:pPr>
      <w:r w:rsidRPr="008E4F8A">
        <w:rPr>
          <w:rFonts w:ascii="Arial" w:hAnsi="Arial" w:cs="Arial"/>
          <w:lang w:val="pt-BR"/>
        </w:rPr>
        <w:br w:type="page"/>
      </w:r>
    </w:p>
    <w:p w:rsidR="007B41A7" w:rsidRDefault="007B41A7" w:rsidP="007B41A7">
      <w:pPr>
        <w:spacing w:after="200" w:line="276" w:lineRule="auto"/>
        <w:rPr>
          <w:rFonts w:ascii="Arial" w:hAnsi="Arial" w:cs="Arial"/>
          <w:b/>
          <w:bCs/>
        </w:rPr>
        <w:sectPr w:rsidR="007B41A7" w:rsidSect="007B41A7">
          <w:pgSz w:w="16838" w:h="11906" w:orient="landscape"/>
          <w:pgMar w:top="1588" w:right="1021" w:bottom="1871" w:left="1021" w:header="567" w:footer="340" w:gutter="0"/>
          <w:cols w:space="708"/>
          <w:docGrid w:linePitch="360"/>
        </w:sect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331B1B">
        <w:rPr>
          <w:rFonts w:ascii="Arial" w:hAnsi="Arial" w:cs="Arial"/>
          <w:b/>
          <w:bCs/>
        </w:rPr>
        <w:lastRenderedPageBreak/>
        <w:t>6.3 Trabalho prático-laboratorial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Dada a natureza experimental da física e da química, as atividades de carácter prático 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laboratorial, a desenvolver em tempos de maior duração e com a turma desdobrada, merecem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uma referência especial.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O trabalho pratico-laboratorial, entendido como todo o trabalho realizado pelos alunos,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incluindo a resolução de problemas, atividades de pesquisa e de comunicação, atividades com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 xml:space="preserve">ou sem recurso a material de laboratório (incluindo o controlo de variáveis), e </w:t>
      </w:r>
      <w:r>
        <w:rPr>
          <w:rFonts w:ascii="Arial" w:hAnsi="Arial" w:cs="Arial"/>
        </w:rPr>
        <w:t xml:space="preserve">indispensável </w:t>
      </w:r>
      <w:r w:rsidRPr="00331B1B">
        <w:rPr>
          <w:rFonts w:ascii="Arial" w:hAnsi="Arial" w:cs="Arial"/>
        </w:rPr>
        <w:t>para o aluno desenvolver atitudes, capacidades e conhecimentos associadas ao trabalho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cientifico.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As atividades laboratoriais devem ser enquadradas com os respetivos conteúdos 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referenciais teóricos. A sua planificação deve ser realizada com cuidado, procurando clarificar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o tema, discutir ideias prévias dos alunos e identificar as grandezas a medir e as condições 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respeitar, de modo a que os trabalhos possam decorrer com o ritmo adequado.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Os alunos devem identificar, na realização das atividades, possíveis erros aleatórios 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sistemáticos. Recomenda-se que tenham em atenção o alcance e a sensibilidade dos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instrumentos de medida, que indiquem a incerteza associada a escala utilizada no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instrumento e que apresentem as medidas com um número correto de algarismos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significativos. Nas medições diretas, conseguidas com uma única medição, o resultado da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medida deve vir afetado da incerteza associada a escala do instrumento de medida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(incerteza absoluta de leitura). Sempre que possível, uma medição direta deve ser efetuada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recorrendo a uma serie de medições nas mesmas condições. Neste caso, o aluno deve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proceder do seguinte modo: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determinar o valor mais provável da grandeza a medir (media aritmética dos valores das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medições);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determinar a incerteza absoluta de leitura;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determinar o desvio de cada medição;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determinar a incerteza absoluta de observação (desvio absoluto máximo);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tomar para incerteza absoluta a maior das incertezas anteriores (de leitura ou de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observação);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determinar a incerteza relativa em relação a média, exprimindo-a em percentagem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(desvio percentual) e associa-la a precisão das medidas;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• exprimir o resultado da medição direta em função do valor mais provável e da incerteza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absoluta ou da incerteza relativa.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Os alunos devem estar familiarizados com o calculo da incerteza absoluta de medições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diretas e reconhecer que a precisão das medidas e mais intuitiva quando se exprime 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incerteza relativa. Devem determinar o erro relativo, em percentagem (erro percentual), de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uma medida que possa ser comparada com valores tabelados ou previstos teoricamente 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interpretar o seu valor, associando-o a exatid</w:t>
      </w:r>
      <w:r>
        <w:rPr>
          <w:rFonts w:ascii="Arial" w:hAnsi="Arial" w:cs="Arial"/>
        </w:rPr>
        <w:t>ã</w:t>
      </w:r>
      <w:r w:rsidRPr="00331B1B">
        <w:rPr>
          <w:rFonts w:ascii="Arial" w:hAnsi="Arial" w:cs="Arial"/>
        </w:rPr>
        <w:t>o da medida. Deve-se sensibilizar os alunos para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o facto de a incerteza nas medições diretas se transmitir as medições indiretas, mas não se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exige o respetivo c</w:t>
      </w:r>
      <w:r>
        <w:rPr>
          <w:rFonts w:ascii="Arial" w:hAnsi="Arial" w:cs="Arial"/>
        </w:rPr>
        <w:t>á</w:t>
      </w:r>
      <w:r w:rsidRPr="00331B1B">
        <w:rPr>
          <w:rFonts w:ascii="Arial" w:hAnsi="Arial" w:cs="Arial"/>
        </w:rPr>
        <w:t>lculo.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lastRenderedPageBreak/>
        <w:t>Certas atividades requerem o traçado de gráficos e de retas de ajuste aos dados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 xml:space="preserve">experimentais, pelo que os alunos devem, nesses casos, recorrer a </w:t>
      </w:r>
      <w:r>
        <w:rPr>
          <w:rFonts w:ascii="Arial" w:hAnsi="Arial" w:cs="Arial"/>
        </w:rPr>
        <w:t>c</w:t>
      </w:r>
      <w:r w:rsidRPr="00331B1B">
        <w:rPr>
          <w:rFonts w:ascii="Arial" w:hAnsi="Arial" w:cs="Arial"/>
        </w:rPr>
        <w:t>alculadora gráfica (ou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equivalente).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Os conceitos relativos ao tratamento de dados devem ser introduzidos de modo faseado,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ao longo das atividades laboratoriais, e de acordo com as metas estabelecidas para cada uma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delas.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As atividades laboratoriais têm de ser feitas, obrigatoriamente, pelos alunos em trabalho de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grupo.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Alguns aspetos relativos a segurança na realização de atividades laboratoriais fazem parte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da formação dos alunos e, por isso, as atividades propostas incluem oportunidades para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aprenderem a lidar com riscos associados a técnicas de utilização de equipamentos 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reagentes.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A segurança deve ser uma preocupação constante, pressupondo-se o cumprimento de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regras gerais de conduta no laboratório. Outros aspetos mais específicos devem ser integrados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de um modo progressivo, o que se traduz pela definição de metas específicas e transversais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relacionadas com a segurança, que são alcançáveis em diferentes trabalhos laboratoriais.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331B1B">
        <w:rPr>
          <w:rFonts w:ascii="Arial" w:hAnsi="Arial" w:cs="Arial"/>
        </w:rPr>
        <w:t>Apresenta-se nos quadros seguintes uma súmula das atividades laboratoriais por ano de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escolaridade e por componente, os respetivos objetivos gerais e algumas sugestões. Podem</w:t>
      </w:r>
      <w:r>
        <w:rPr>
          <w:rFonts w:ascii="Arial" w:hAnsi="Arial" w:cs="Arial"/>
        </w:rPr>
        <w:t xml:space="preserve"> </w:t>
      </w:r>
      <w:r w:rsidRPr="00331B1B">
        <w:rPr>
          <w:rFonts w:ascii="Arial" w:hAnsi="Arial" w:cs="Arial"/>
        </w:rPr>
        <w:t>ser utilizados outros procedimentos desde que se atinjam as metas definidas.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Nas Tabelas que se seguem, apresentam-se as atividades laboratoriais previstas por domínio, com o objetivo geral e algumas sugestões.</w:t>
      </w:r>
    </w:p>
    <w:p w:rsidR="007B41A7" w:rsidRDefault="00861E9B" w:rsidP="007B41A7">
      <w:pPr>
        <w:spacing w:after="200" w:line="276" w:lineRule="auto"/>
        <w:rPr>
          <w:rFonts w:ascii="Arial" w:hAnsi="Arial" w:cs="Arial"/>
        </w:rPr>
        <w:sectPr w:rsidR="007B41A7" w:rsidSect="007B41A7">
          <w:pgSz w:w="11906" w:h="16838"/>
          <w:pgMar w:top="1021" w:right="1588" w:bottom="1021" w:left="1871" w:header="567" w:footer="340" w:gutter="0"/>
          <w:cols w:space="708"/>
          <w:docGrid w:linePitch="360"/>
        </w:sect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12C9CF58" wp14:editId="63242068">
            <wp:simplePos x="0" y="0"/>
            <wp:positionH relativeFrom="column">
              <wp:posOffset>-1011555</wp:posOffset>
            </wp:positionH>
            <wp:positionV relativeFrom="paragraph">
              <wp:posOffset>282575</wp:posOffset>
            </wp:positionV>
            <wp:extent cx="7205980" cy="4789805"/>
            <wp:effectExtent l="0" t="0" r="0" b="0"/>
            <wp:wrapTight wrapText="bothSides">
              <wp:wrapPolygon edited="0">
                <wp:start x="0" y="0"/>
                <wp:lineTo x="0" y="21477"/>
                <wp:lineTo x="21528" y="21477"/>
                <wp:lineTo x="2152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98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41A7">
        <w:rPr>
          <w:rFonts w:ascii="Arial" w:hAnsi="Arial" w:cs="Arial"/>
        </w:rPr>
        <w:br w:type="page"/>
      </w:r>
    </w:p>
    <w:p w:rsidR="007B41A7" w:rsidRDefault="007B41A7" w:rsidP="007B41A7">
      <w:pPr>
        <w:tabs>
          <w:tab w:val="left" w:pos="1242"/>
          <w:tab w:val="left" w:pos="2943"/>
          <w:tab w:val="left" w:pos="3794"/>
          <w:tab w:val="left" w:pos="6204"/>
          <w:tab w:val="left" w:pos="8472"/>
        </w:tabs>
        <w:spacing w:after="240"/>
        <w:rPr>
          <w:rFonts w:ascii="Arial" w:hAnsi="Arial" w:cs="Arial"/>
          <w:b/>
          <w:bCs/>
          <w:iCs/>
          <w:sz w:val="32"/>
          <w:szCs w:val="32"/>
        </w:rPr>
      </w:pPr>
      <w:r w:rsidRPr="002942F1">
        <w:rPr>
          <w:rFonts w:ascii="Arial" w:hAnsi="Arial" w:cs="Arial"/>
          <w:b/>
          <w:sz w:val="32"/>
          <w:szCs w:val="32"/>
          <w:lang w:val="pt-BR"/>
        </w:rPr>
        <w:lastRenderedPageBreak/>
        <w:t>Domínio</w:t>
      </w:r>
      <w:r>
        <w:rPr>
          <w:rFonts w:ascii="Arial" w:hAnsi="Arial" w:cs="Arial"/>
          <w:b/>
          <w:sz w:val="32"/>
          <w:szCs w:val="32"/>
          <w:lang w:val="pt-BR"/>
        </w:rPr>
        <w:t xml:space="preserve"> 1</w:t>
      </w:r>
      <w:r w:rsidRPr="002942F1">
        <w:rPr>
          <w:rFonts w:ascii="Arial" w:hAnsi="Arial" w:cs="Arial"/>
          <w:b/>
          <w:sz w:val="32"/>
          <w:szCs w:val="32"/>
          <w:lang w:val="pt-BR"/>
        </w:rPr>
        <w:t xml:space="preserve">: </w:t>
      </w:r>
      <w:r w:rsidRPr="002942F1">
        <w:rPr>
          <w:rFonts w:ascii="Arial" w:hAnsi="Arial" w:cs="Arial"/>
          <w:b/>
          <w:bCs/>
          <w:iCs/>
          <w:sz w:val="32"/>
          <w:szCs w:val="32"/>
        </w:rPr>
        <w:t>Elementos</w:t>
      </w:r>
      <w:r w:rsidRPr="00342938">
        <w:rPr>
          <w:rFonts w:ascii="Arial" w:hAnsi="Arial" w:cs="Arial"/>
          <w:b/>
          <w:bCs/>
          <w:iCs/>
          <w:sz w:val="32"/>
          <w:szCs w:val="32"/>
        </w:rPr>
        <w:t xml:space="preserve"> químicos e sua organização</w:t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2519"/>
        <w:gridCol w:w="2693"/>
        <w:gridCol w:w="9800"/>
      </w:tblGrid>
      <w:tr w:rsidR="007B41A7" w:rsidRPr="00342938" w:rsidTr="00145D5D">
        <w:tc>
          <w:tcPr>
            <w:tcW w:w="839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Atividade laboratorial</w:t>
            </w:r>
          </w:p>
        </w:tc>
        <w:tc>
          <w:tcPr>
            <w:tcW w:w="897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342938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3264" w:type="pct"/>
          </w:tcPr>
          <w:p w:rsidR="007B41A7" w:rsidRPr="00342938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S</w:t>
            </w:r>
            <w:r w:rsidRPr="00342938">
              <w:rPr>
                <w:rFonts w:ascii="Arial" w:hAnsi="Arial" w:cs="Arial"/>
                <w:b/>
                <w:lang w:val="pt-BR"/>
              </w:rPr>
              <w:t>ugestões</w:t>
            </w:r>
          </w:p>
        </w:tc>
      </w:tr>
      <w:tr w:rsidR="007B41A7" w:rsidRPr="001C2CE9" w:rsidTr="00145D5D">
        <w:trPr>
          <w:cantSplit/>
          <w:trHeight w:val="1134"/>
        </w:trPr>
        <w:tc>
          <w:tcPr>
            <w:tcW w:w="839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1.1. Volume e número de moléculas de uma gota de água</w:t>
            </w:r>
          </w:p>
        </w:tc>
        <w:tc>
          <w:tcPr>
            <w:tcW w:w="8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Medir o volume e a massa de uma gota de água e determinar o número de moléculas de água na gota.</w:t>
            </w:r>
          </w:p>
        </w:tc>
        <w:tc>
          <w:tcPr>
            <w:tcW w:w="3264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Nesta atividade introduzem-se alguns conceitos sobre medição: algarismos significativos, incerteza experimental associada a leitura no aparelho de medida, erros que afetam as medições e modo de exprimir uma medida a partir de uma única medição direta.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 atividade pode começar questionando os alunos sobre um processo de medir a massa e o volume de uma gota de água, orientando a discussão de forma a concluírem que a medição deve fazer-se a partir da massa e do volume de um número elevado de gotas.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Sugere-se um número de gotas de água não inferior a 100.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Posteriormente pode questionar-se qual das grandezas medidas (massa ou volume) deve ser usada para determinar o numero de moléculas de agua numa gota, e ainda que informação adicional e necessária e onde esta pode ser encontrada.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Os resultados obtidos podem ser usados para determinar e comparar ordens de grandeza.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7B41A7" w:rsidRPr="001C2CE9" w:rsidTr="00145D5D">
        <w:trPr>
          <w:cantSplit/>
          <w:trHeight w:val="1134"/>
        </w:trPr>
        <w:tc>
          <w:tcPr>
            <w:tcW w:w="839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1.2. Teste de chama</w:t>
            </w:r>
          </w:p>
        </w:tc>
        <w:tc>
          <w:tcPr>
            <w:tcW w:w="8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Identificar elementos químicos em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amostras de sais usando testes de chama.</w:t>
            </w:r>
          </w:p>
        </w:tc>
        <w:tc>
          <w:tcPr>
            <w:tcW w:w="3264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Esta atividade pode adquirir um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caráter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 de pesquisa laboratorial, caso se usem amostras desconhecidas de vários sais. Se forem usadas ansas de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Cr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/Ni, a atividade deve ser planeada para que a mesma ansa seja utilizada sempre na mesma amostra, o que evita o recurso a acido clorídrico concentrado para limpeza das ansas.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Devem ser abordados aspetos de segurança relacionados com a utilização de fontes de aquecimento e manipulação de reagentes.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Os resultados do teste de chama podem ser relacionados com os efeitos observados no fogo de-artifício.</w:t>
            </w:r>
          </w:p>
        </w:tc>
      </w:tr>
      <w:tr w:rsidR="007B41A7" w:rsidRPr="001C2CE9" w:rsidTr="00145D5D">
        <w:trPr>
          <w:cantSplit/>
          <w:trHeight w:val="1134"/>
        </w:trPr>
        <w:tc>
          <w:tcPr>
            <w:tcW w:w="839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1.3. Densidade relativa de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metais</w:t>
            </w:r>
          </w:p>
        </w:tc>
        <w:tc>
          <w:tcPr>
            <w:tcW w:w="8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Determinar a densidade relativa de metais por picnometria.</w:t>
            </w:r>
          </w:p>
        </w:tc>
        <w:tc>
          <w:tcPr>
            <w:tcW w:w="3264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Sugere-se a utilização de metais como cobre, alumínio ou chumbo, na forma de grãos, laminas ou fios de pequena dimensão.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Devem discutir-se erros aleatórios e sistemáticos ligados a influência da temperatura, devidos a formação de bolhas de ar no interior do picnómetro, a uma secagem inadequada do picnometria ou a presença de impurezas no metal em estudo.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Nesta atividade deve introduzir-se o erro percentual associado a um resultado experimental, quando há um valor de referência, e a sua relação com a exatidão desse resultado.</w:t>
            </w:r>
          </w:p>
        </w:tc>
      </w:tr>
    </w:tbl>
    <w:p w:rsidR="007B41A7" w:rsidRPr="001C2CE9" w:rsidRDefault="007B41A7" w:rsidP="007B41A7">
      <w:pPr>
        <w:tabs>
          <w:tab w:val="left" w:pos="1242"/>
          <w:tab w:val="left" w:pos="2943"/>
          <w:tab w:val="left" w:pos="3794"/>
          <w:tab w:val="left" w:pos="6204"/>
          <w:tab w:val="left" w:pos="8472"/>
        </w:tabs>
        <w:spacing w:after="240"/>
        <w:rPr>
          <w:rFonts w:ascii="Arial" w:hAnsi="Arial" w:cs="Arial"/>
          <w:b/>
          <w:bCs/>
          <w:iCs/>
          <w:sz w:val="32"/>
          <w:szCs w:val="32"/>
        </w:rPr>
      </w:pPr>
      <w:r w:rsidRPr="001C2CE9">
        <w:rPr>
          <w:rFonts w:ascii="Arial" w:hAnsi="Arial" w:cs="Arial"/>
          <w:b/>
          <w:sz w:val="32"/>
          <w:szCs w:val="32"/>
          <w:lang w:val="pt-BR"/>
        </w:rPr>
        <w:lastRenderedPageBreak/>
        <w:t xml:space="preserve">Domínio 2: </w:t>
      </w:r>
      <w:r w:rsidRPr="001C2CE9">
        <w:rPr>
          <w:rFonts w:ascii="Arial" w:hAnsi="Arial" w:cs="Arial"/>
          <w:b/>
          <w:bCs/>
          <w:iCs/>
          <w:sz w:val="32"/>
          <w:szCs w:val="32"/>
        </w:rPr>
        <w:t>Propriedades e transformações da matéria</w:t>
      </w:r>
    </w:p>
    <w:tbl>
      <w:tblPr>
        <w:tblStyle w:val="Tabelacomgrelha"/>
        <w:tblW w:w="5000" w:type="pct"/>
        <w:tblLayout w:type="fixed"/>
        <w:tblLook w:val="04A0" w:firstRow="1" w:lastRow="0" w:firstColumn="1" w:lastColumn="0" w:noHBand="0" w:noVBand="1"/>
      </w:tblPr>
      <w:tblGrid>
        <w:gridCol w:w="2093"/>
        <w:gridCol w:w="2411"/>
        <w:gridCol w:w="10508"/>
      </w:tblGrid>
      <w:tr w:rsidR="007B41A7" w:rsidRPr="001C2CE9" w:rsidTr="00145D5D">
        <w:tc>
          <w:tcPr>
            <w:tcW w:w="697" w:type="pct"/>
          </w:tcPr>
          <w:p w:rsidR="007B41A7" w:rsidRPr="001C2CE9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1C2CE9">
              <w:rPr>
                <w:rFonts w:ascii="Arial" w:hAnsi="Arial" w:cs="Arial"/>
                <w:b/>
                <w:lang w:val="pt-BR"/>
              </w:rPr>
              <w:t>Atividade laboratorial</w:t>
            </w:r>
          </w:p>
        </w:tc>
        <w:tc>
          <w:tcPr>
            <w:tcW w:w="803" w:type="pct"/>
          </w:tcPr>
          <w:p w:rsidR="007B41A7" w:rsidRPr="001C2CE9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1C2CE9">
              <w:rPr>
                <w:rFonts w:ascii="Arial" w:hAnsi="Arial" w:cs="Arial"/>
                <w:b/>
                <w:lang w:val="pt-BR"/>
              </w:rPr>
              <w:t>Objetivo Geral</w:t>
            </w:r>
          </w:p>
        </w:tc>
        <w:tc>
          <w:tcPr>
            <w:tcW w:w="3500" w:type="pct"/>
          </w:tcPr>
          <w:p w:rsidR="007B41A7" w:rsidRPr="001C2CE9" w:rsidRDefault="007B41A7" w:rsidP="00145D5D">
            <w:pPr>
              <w:spacing w:after="240"/>
              <w:jc w:val="center"/>
              <w:rPr>
                <w:rFonts w:ascii="Arial" w:hAnsi="Arial" w:cs="Arial"/>
                <w:b/>
                <w:lang w:val="pt-BR"/>
              </w:rPr>
            </w:pPr>
            <w:r w:rsidRPr="001C2CE9">
              <w:rPr>
                <w:rFonts w:ascii="Arial" w:hAnsi="Arial" w:cs="Arial"/>
                <w:b/>
                <w:lang w:val="pt-BR"/>
              </w:rPr>
              <w:t>Sugestões</w:t>
            </w:r>
          </w:p>
        </w:tc>
      </w:tr>
      <w:tr w:rsidR="007B41A7" w:rsidRPr="001C2CE9" w:rsidTr="00145D5D">
        <w:trPr>
          <w:cantSplit/>
          <w:trHeight w:val="1134"/>
        </w:trPr>
        <w:tc>
          <w:tcPr>
            <w:tcW w:w="6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2.1. Miscibilidade de líquidos</w:t>
            </w:r>
          </w:p>
        </w:tc>
        <w:tc>
          <w:tcPr>
            <w:tcW w:w="803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Prever e avaliar a miscibilidade de líquidos.</w:t>
            </w:r>
          </w:p>
        </w:tc>
        <w:tc>
          <w:tcPr>
            <w:tcW w:w="3500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A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atividade pode ter o formato de uma investigação laboratorial, em que se fornecem vários líquidos e informação sobre as correspondentes fórmulas de estrutura. Os líquidos a utilizar poderão ser: agua, etanol, acetona e hexano.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 atividade pode começar sugerindo aos alunos que formulem hipóteses sobre a miscibilidade dos líquidos propostos, com base nas respetivas fórmulas de estrutura.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Um liquido que também poderá ser utilizado e o éter de petróleo. Neste caso deve ser dada a informação aos alunos que se trata de uma mistura de hidrocarbonetos, e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ssencialmente pentano e hexano.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Deverão ser tomadas medidas para lidar com riscos associados a manipulação de alguns líquidos.</w:t>
            </w:r>
          </w:p>
        </w:tc>
      </w:tr>
      <w:tr w:rsidR="007B41A7" w:rsidRPr="001C2CE9" w:rsidTr="00145D5D">
        <w:trPr>
          <w:cantSplit/>
          <w:trHeight w:val="1134"/>
        </w:trPr>
        <w:tc>
          <w:tcPr>
            <w:tcW w:w="6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2.2. Soluções a partir de solutos sólidos</w:t>
            </w:r>
          </w:p>
        </w:tc>
        <w:tc>
          <w:tcPr>
            <w:tcW w:w="803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Preparar uma solução aquosa a partir de um soluto sólido.</w:t>
            </w:r>
          </w:p>
        </w:tc>
        <w:tc>
          <w:tcPr>
            <w:tcW w:w="3500" w:type="pct"/>
          </w:tcPr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>O r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eagente a utilizar deve estar devidamente rotulado para que se possa fazer a necessária avaliação de riscos. Sugere-se a utilização de compostos corados como sulfato de cobre(II)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pentahidratado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 ou permanganato de potássio. Não devem usar-se sais contendo catiões de metais pesados (Pb, Hg,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Cr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, Co, Ni).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Devem ser referidos aspetos relacionados com armazenamento de soluções; as soluções preparadas podem ser apro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veitadas para outros trabalhos.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Devem discutir-se erros aleatórios e sistemáticos.</w:t>
            </w:r>
          </w:p>
        </w:tc>
      </w:tr>
      <w:tr w:rsidR="007B41A7" w:rsidRPr="001C2CE9" w:rsidTr="00145D5D">
        <w:trPr>
          <w:cantSplit/>
          <w:trHeight w:val="1134"/>
        </w:trPr>
        <w:tc>
          <w:tcPr>
            <w:tcW w:w="6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2.3. Diluição de soluções</w:t>
            </w:r>
          </w:p>
        </w:tc>
        <w:tc>
          <w:tcPr>
            <w:tcW w:w="803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Preparar soluções aquosas por diluição.</w:t>
            </w:r>
          </w:p>
        </w:tc>
        <w:tc>
          <w:tcPr>
            <w:tcW w:w="3500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Previamente, usando água, os alunos devem treinar o uso de pipetas na medição de volumes; estas podem ser da mesma classe, para poderem comparar as respetivas incertezas de leitura.</w:t>
            </w:r>
          </w:p>
          <w:p w:rsidR="007B41A7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Cada grupo de alunos devera preparar várias soluções com diferentes fatores de diluição, selecionando pipetas e balões volumétricos adequados. As soluções preparadas podem ser aproveitadas para outros trabalhos. Sugere-se que a solução a diluir seja a preparada na atividade anterior.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7B41A7" w:rsidRPr="001C2CE9" w:rsidTr="00145D5D">
        <w:trPr>
          <w:cantSplit/>
          <w:trHeight w:val="1134"/>
        </w:trPr>
        <w:tc>
          <w:tcPr>
            <w:tcW w:w="697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AL 2.4. Reação fotoquímica</w:t>
            </w:r>
          </w:p>
        </w:tc>
        <w:tc>
          <w:tcPr>
            <w:tcW w:w="803" w:type="pct"/>
            <w:vAlign w:val="center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Investigar o efeito da luz sobre o cloreto de prata.</w:t>
            </w:r>
          </w:p>
        </w:tc>
        <w:tc>
          <w:tcPr>
            <w:tcW w:w="3500" w:type="pct"/>
          </w:tcPr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A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reação fotoquímica em estudo envolve a transformação do ião prata em prata metálica e libertação de cloro, sendo representada por 2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AgCl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 (s) → 2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Ag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 (s) + Cl</w:t>
            </w:r>
            <w:r w:rsidRPr="001C2CE9">
              <w:rPr>
                <w:rFonts w:ascii="Arial" w:eastAsiaTheme="minorHAnsi" w:hAnsi="Arial" w:cs="Arial"/>
                <w:sz w:val="14"/>
                <w:szCs w:val="14"/>
              </w:rPr>
              <w:t xml:space="preserve">2 </w:t>
            </w: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(g)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A atividade deve realizar-se em pequena escala para diminuir custos, evitar os riscos associados a libertação de cloro e reduzir a formação de resíduos.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>Devem utilizar-se soluções de cloreto de sódio e de nitrato de prata de igual concentração.</w:t>
            </w:r>
          </w:p>
          <w:p w:rsidR="007B41A7" w:rsidRPr="001C2CE9" w:rsidRDefault="007B41A7" w:rsidP="00145D5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Para investigar o efeito da luz sobre o cloreto de prata deve usar-se luz branca, luz azul e luz vermelha e usar como termo de comparação uma amostra ao abrigo da </w:t>
            </w:r>
            <w:proofErr w:type="spellStart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>luz.Deve</w:t>
            </w:r>
            <w:proofErr w:type="spellEnd"/>
            <w:r w:rsidRPr="001C2CE9">
              <w:rPr>
                <w:rFonts w:ascii="Arial" w:eastAsiaTheme="minorHAnsi" w:hAnsi="Arial" w:cs="Arial"/>
                <w:sz w:val="22"/>
                <w:szCs w:val="22"/>
              </w:rPr>
              <w:t xml:space="preserve"> discutir-se o controlo de variáveis.</w:t>
            </w:r>
          </w:p>
        </w:tc>
      </w:tr>
    </w:tbl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  <w:sectPr w:rsidR="007B41A7" w:rsidSect="007B41A7">
          <w:pgSz w:w="16838" w:h="11906" w:orient="landscape"/>
          <w:pgMar w:top="1588" w:right="1021" w:bottom="1871" w:left="1021" w:header="567" w:footer="340" w:gutter="0"/>
          <w:cols w:space="708"/>
          <w:docGrid w:linePitch="360"/>
        </w:sectPr>
      </w:pP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  <w:r w:rsidRPr="008E4F8A">
        <w:rPr>
          <w:rFonts w:ascii="Arial" w:hAnsi="Arial" w:cs="Arial"/>
          <w:b/>
          <w:bCs/>
        </w:rPr>
        <w:lastRenderedPageBreak/>
        <w:t>7. Avaliação</w:t>
      </w:r>
    </w:p>
    <w:p w:rsidR="007B41A7" w:rsidRPr="008E4F8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</w:rPr>
      </w:pPr>
    </w:p>
    <w:p w:rsidR="007B41A7" w:rsidRPr="008E4F8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E4F8A">
        <w:rPr>
          <w:rFonts w:ascii="Arial" w:hAnsi="Arial" w:cs="Arial"/>
        </w:rPr>
        <w:t>O processo de avaliação desta disciplina decorre dos princípios gerais da avaliação: deve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 xml:space="preserve">ser contínua, apoiada em diversos instrumentos adaptados </w:t>
      </w:r>
      <w:r>
        <w:rPr>
          <w:rFonts w:ascii="Arial" w:hAnsi="Arial" w:cs="Arial"/>
        </w:rPr>
        <w:t>à</w:t>
      </w:r>
      <w:r w:rsidRPr="008E4F8A">
        <w:rPr>
          <w:rFonts w:ascii="Arial" w:hAnsi="Arial" w:cs="Arial"/>
        </w:rPr>
        <w:t>s aprendizagens em apreciação,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ter um carácter formativo – não só para os alunos, para controlo da sua aprendizagem, mas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também para o professor, como reguladora das suas opções de ensino – e culminar em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situações de avaliação sumativa.</w:t>
      </w:r>
    </w:p>
    <w:p w:rsidR="007B41A7" w:rsidRPr="008E4F8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E4F8A">
        <w:rPr>
          <w:rFonts w:ascii="Arial" w:hAnsi="Arial" w:cs="Arial"/>
        </w:rPr>
        <w:t>O aluno deve ser envolvido na avaliação, desenvolvendo o sentido critico relativamente ao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seu trabalho e a sua aprendizagem, através, por exemplo, da promoção de atitudes reflexivas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e do recurso a processos metacognitivos.</w:t>
      </w:r>
    </w:p>
    <w:p w:rsidR="007B41A7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E4F8A">
        <w:rPr>
          <w:rFonts w:ascii="Arial" w:hAnsi="Arial" w:cs="Arial"/>
        </w:rPr>
        <w:t>Os critérios de avaliação definidos em Conselho Pedagógico, sob proposta dos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departamentos curriculares, devem contemplar os critérios de avaliação da componente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pratica-laboratorial, designadamente as atividades labora</w:t>
      </w:r>
      <w:r>
        <w:rPr>
          <w:rFonts w:ascii="Arial" w:hAnsi="Arial" w:cs="Arial"/>
        </w:rPr>
        <w:t xml:space="preserve">toriais de </w:t>
      </w:r>
      <w:proofErr w:type="spellStart"/>
      <w:r>
        <w:rPr>
          <w:rFonts w:ascii="Arial" w:hAnsi="Arial" w:cs="Arial"/>
        </w:rPr>
        <w:t>caráter</w:t>
      </w:r>
      <w:proofErr w:type="spellEnd"/>
      <w:r>
        <w:rPr>
          <w:rFonts w:ascii="Arial" w:hAnsi="Arial" w:cs="Arial"/>
        </w:rPr>
        <w:t xml:space="preserve"> obrigatório.</w:t>
      </w:r>
    </w:p>
    <w:p w:rsidR="007B41A7" w:rsidRPr="008E4F8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E4F8A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 xml:space="preserve">acordo com o estabelecido no ponto 5 do art.º 7.o da Portaria n.º 243/2012, são </w:t>
      </w:r>
      <w:r>
        <w:rPr>
          <w:rFonts w:ascii="Arial" w:hAnsi="Arial" w:cs="Arial"/>
        </w:rPr>
        <w:t xml:space="preserve">obrigatórios </w:t>
      </w:r>
      <w:r w:rsidRPr="008E4F8A">
        <w:rPr>
          <w:rFonts w:ascii="Arial" w:hAnsi="Arial" w:cs="Arial"/>
        </w:rPr>
        <w:t>momentos formais de avaliação da dimensão prática ou experimentais integrados no processo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de ensino. E, de acordo com a alínea c) do mesmo ponto, na disciplina de Física e Química A, a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componente pratica-laboratorial tem um peso mínimo de 30% no cálculo da classificação a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atribuir em cada momento formal de avaliação.</w:t>
      </w:r>
    </w:p>
    <w:p w:rsidR="007B41A7" w:rsidRPr="008E4F8A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E4F8A">
        <w:rPr>
          <w:rFonts w:ascii="Arial" w:hAnsi="Arial" w:cs="Arial"/>
        </w:rPr>
        <w:t xml:space="preserve">Dada a centralidade da componente pratica-laboratorial na física e na química identificam--se nas metas curriculares, para cada uma das atividades laboratoriais, descritores </w:t>
      </w:r>
      <w:r>
        <w:rPr>
          <w:rFonts w:ascii="Arial" w:hAnsi="Arial" w:cs="Arial"/>
        </w:rPr>
        <w:t xml:space="preserve">específicos </w:t>
      </w:r>
      <w:r w:rsidRPr="008E4F8A">
        <w:rPr>
          <w:rFonts w:ascii="Arial" w:hAnsi="Arial" w:cs="Arial"/>
        </w:rPr>
        <w:t>e transversais, os quais devem servir como referencia para a avaliação do desempenho dos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alunos nessas atividades.</w:t>
      </w:r>
    </w:p>
    <w:p w:rsidR="007B41A7" w:rsidRPr="00331B1B" w:rsidRDefault="007B41A7" w:rsidP="007B41A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pt-BR"/>
        </w:rPr>
      </w:pPr>
      <w:r w:rsidRPr="008E4F8A">
        <w:rPr>
          <w:rFonts w:ascii="Arial" w:hAnsi="Arial" w:cs="Arial"/>
        </w:rPr>
        <w:t>Para responder aos diversos itens dos testes de avaliação os alunos podem consultar um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formulário e, no caso da componente de Química, a Tabela Periódica, numa versão que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contenha, pelo menos, informação do símbolo químico, do numero atómico e da massa</w:t>
      </w:r>
      <w:r>
        <w:rPr>
          <w:rFonts w:ascii="Arial" w:hAnsi="Arial" w:cs="Arial"/>
        </w:rPr>
        <w:t xml:space="preserve"> </w:t>
      </w:r>
      <w:r w:rsidRPr="008E4F8A">
        <w:rPr>
          <w:rFonts w:ascii="Arial" w:hAnsi="Arial" w:cs="Arial"/>
        </w:rPr>
        <w:t>atómica relativa.</w:t>
      </w:r>
    </w:p>
    <w:p w:rsidR="00CA2DBC" w:rsidRPr="00805748" w:rsidRDefault="00CA2DBC" w:rsidP="00CA2DBC">
      <w:pPr>
        <w:spacing w:after="200" w:line="276" w:lineRule="auto"/>
        <w:rPr>
          <w:sz w:val="23"/>
          <w:szCs w:val="23"/>
        </w:rPr>
      </w:pPr>
    </w:p>
    <w:sectPr w:rsidR="00CA2DBC" w:rsidRPr="00805748" w:rsidSect="00A11E0D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D5D" w:rsidRDefault="00145D5D" w:rsidP="007B41A7">
      <w:r>
        <w:separator/>
      </w:r>
    </w:p>
  </w:endnote>
  <w:endnote w:type="continuationSeparator" w:id="0">
    <w:p w:rsidR="00145D5D" w:rsidRDefault="00145D5D" w:rsidP="007B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02313"/>
      <w:docPartObj>
        <w:docPartGallery w:val="Page Numbers (Bottom of Page)"/>
        <w:docPartUnique/>
      </w:docPartObj>
    </w:sdtPr>
    <w:sdtEndPr/>
    <w:sdtContent>
      <w:p w:rsidR="00145D5D" w:rsidRDefault="00145D5D">
        <w:pPr>
          <w:pStyle w:val="Rodap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E0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45D5D" w:rsidRDefault="00145D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D5D" w:rsidRDefault="00145D5D" w:rsidP="007B41A7">
      <w:r>
        <w:separator/>
      </w:r>
    </w:p>
  </w:footnote>
  <w:footnote w:type="continuationSeparator" w:id="0">
    <w:p w:rsidR="00145D5D" w:rsidRDefault="00145D5D" w:rsidP="007B4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82503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E5477"/>
    <w:multiLevelType w:val="hybridMultilevel"/>
    <w:tmpl w:val="3A821100"/>
    <w:lvl w:ilvl="0" w:tplc="7D5E0F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pStyle w:val="Tesc1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C1E96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225126"/>
    <w:multiLevelType w:val="hybridMultilevel"/>
    <w:tmpl w:val="1766F3EE"/>
    <w:lvl w:ilvl="0" w:tplc="254674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41F24"/>
    <w:multiLevelType w:val="hybridMultilevel"/>
    <w:tmpl w:val="DEEA5B9E"/>
    <w:lvl w:ilvl="0" w:tplc="A4BE85AE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575A02"/>
    <w:multiLevelType w:val="hybridMultilevel"/>
    <w:tmpl w:val="9E98DBF4"/>
    <w:lvl w:ilvl="0" w:tplc="C3AC53CA">
      <w:start w:val="1"/>
      <w:numFmt w:val="bullet"/>
      <w:pStyle w:val="Tesc2compb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7111A8"/>
    <w:multiLevelType w:val="hybridMultilevel"/>
    <w:tmpl w:val="92A67A66"/>
    <w:lvl w:ilvl="0" w:tplc="1CC61B34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3"/>
  </w:num>
  <w:num w:numId="2">
    <w:abstractNumId w:val="9"/>
  </w:num>
  <w:num w:numId="3">
    <w:abstractNumId w:val="0"/>
    <w:lvlOverride w:ilvl="0">
      <w:lvl w:ilvl="0"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71"/>
    <w:rsid w:val="00081925"/>
    <w:rsid w:val="0008534D"/>
    <w:rsid w:val="000E7728"/>
    <w:rsid w:val="00124055"/>
    <w:rsid w:val="00145D5D"/>
    <w:rsid w:val="00155721"/>
    <w:rsid w:val="001A4112"/>
    <w:rsid w:val="00206990"/>
    <w:rsid w:val="00210D0D"/>
    <w:rsid w:val="00291FE2"/>
    <w:rsid w:val="00294DAF"/>
    <w:rsid w:val="002A47E2"/>
    <w:rsid w:val="002E1C35"/>
    <w:rsid w:val="002F6A9C"/>
    <w:rsid w:val="00313377"/>
    <w:rsid w:val="004306AB"/>
    <w:rsid w:val="00431116"/>
    <w:rsid w:val="00461538"/>
    <w:rsid w:val="005116A5"/>
    <w:rsid w:val="0051376D"/>
    <w:rsid w:val="005364C5"/>
    <w:rsid w:val="005479E0"/>
    <w:rsid w:val="005762F1"/>
    <w:rsid w:val="005E4708"/>
    <w:rsid w:val="0064098F"/>
    <w:rsid w:val="0064657E"/>
    <w:rsid w:val="00655248"/>
    <w:rsid w:val="006B796C"/>
    <w:rsid w:val="0070257A"/>
    <w:rsid w:val="00712943"/>
    <w:rsid w:val="00725740"/>
    <w:rsid w:val="00736519"/>
    <w:rsid w:val="007B41A7"/>
    <w:rsid w:val="007C31F9"/>
    <w:rsid w:val="007D32F0"/>
    <w:rsid w:val="007E0808"/>
    <w:rsid w:val="00840581"/>
    <w:rsid w:val="00861E9B"/>
    <w:rsid w:val="00947D6F"/>
    <w:rsid w:val="009773CC"/>
    <w:rsid w:val="009955A8"/>
    <w:rsid w:val="00A11E0D"/>
    <w:rsid w:val="00AD3561"/>
    <w:rsid w:val="00B36D2E"/>
    <w:rsid w:val="00C64E93"/>
    <w:rsid w:val="00CA2DBC"/>
    <w:rsid w:val="00D33041"/>
    <w:rsid w:val="00D64F8B"/>
    <w:rsid w:val="00DA7953"/>
    <w:rsid w:val="00E71857"/>
    <w:rsid w:val="00E8432A"/>
    <w:rsid w:val="00EA66AE"/>
    <w:rsid w:val="00EB6D7D"/>
    <w:rsid w:val="00F03671"/>
    <w:rsid w:val="00F34BC7"/>
    <w:rsid w:val="00F6475C"/>
    <w:rsid w:val="00F742B5"/>
    <w:rsid w:val="00F965AC"/>
    <w:rsid w:val="00F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3">
    <w:name w:val="heading 3"/>
    <w:basedOn w:val="Normal"/>
    <w:next w:val="Normal"/>
    <w:link w:val="Cabealho3Carcter"/>
    <w:qFormat/>
    <w:rsid w:val="007B41A7"/>
    <w:pPr>
      <w:keepNext/>
      <w:jc w:val="center"/>
      <w:outlineLvl w:val="2"/>
    </w:pPr>
    <w:rPr>
      <w:b/>
      <w:bCs/>
      <w:lang w:eastAsia="pt-PT"/>
    </w:rPr>
  </w:style>
  <w:style w:type="paragraph" w:styleId="Cabealho4">
    <w:name w:val="heading 4"/>
    <w:basedOn w:val="Normal"/>
    <w:next w:val="Normal"/>
    <w:link w:val="Cabealho4Carcter"/>
    <w:qFormat/>
    <w:rsid w:val="007B41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6">
    <w:name w:val="heading 6"/>
    <w:basedOn w:val="Normal"/>
    <w:next w:val="Normal"/>
    <w:link w:val="Cabealho6Carcter"/>
    <w:qFormat/>
    <w:rsid w:val="007B41A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F03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cter">
    <w:name w:val="Cabeçalho 3 Carácter"/>
    <w:basedOn w:val="Tipodeletrapredefinidodopargrafo"/>
    <w:link w:val="Cabealho3"/>
    <w:rsid w:val="007B41A7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7B41A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abealho6Carcter">
    <w:name w:val="Cabeçalho 6 Carácter"/>
    <w:basedOn w:val="Tipodeletrapredefinidodopargrafo"/>
    <w:link w:val="Cabealho6"/>
    <w:rsid w:val="007B41A7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B41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B41A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1A7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nhideWhenUsed/>
    <w:rsid w:val="007B41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7B41A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B41A7"/>
    <w:rPr>
      <w:rFonts w:ascii="Times New Roman" w:eastAsia="Times New Roman" w:hAnsi="Times New Roman" w:cs="Times New Roman"/>
      <w:sz w:val="24"/>
      <w:szCs w:val="24"/>
    </w:rPr>
  </w:style>
  <w:style w:type="character" w:styleId="Hiperligao">
    <w:name w:val="Hyperlink"/>
    <w:basedOn w:val="Tipodeletrapredefinidodopargrafo"/>
    <w:unhideWhenUsed/>
    <w:rsid w:val="007B41A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41A7"/>
    <w:pPr>
      <w:ind w:left="720"/>
      <w:contextualSpacing/>
    </w:pPr>
  </w:style>
  <w:style w:type="character" w:styleId="Nmerodepgina">
    <w:name w:val="page number"/>
    <w:basedOn w:val="Tipodeletrapredefinidodopargrafo"/>
    <w:rsid w:val="007B41A7"/>
  </w:style>
  <w:style w:type="paragraph" w:styleId="Corpodetexto2">
    <w:name w:val="Body Text 2"/>
    <w:basedOn w:val="Normal"/>
    <w:link w:val="Corpodetexto2Carcter"/>
    <w:rsid w:val="007B41A7"/>
    <w:pPr>
      <w:jc w:val="center"/>
    </w:pPr>
    <w:rPr>
      <w:sz w:val="18"/>
      <w:szCs w:val="18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7B41A7"/>
    <w:rPr>
      <w:rFonts w:ascii="Times New Roman" w:eastAsia="Times New Roman" w:hAnsi="Times New Roman" w:cs="Times New Roman"/>
      <w:sz w:val="18"/>
      <w:szCs w:val="18"/>
      <w:lang w:eastAsia="pt-PT"/>
    </w:rPr>
  </w:style>
  <w:style w:type="paragraph" w:styleId="Corpodetexto3">
    <w:name w:val="Body Text 3"/>
    <w:basedOn w:val="Normal"/>
    <w:link w:val="Corpodetexto3Carcter"/>
    <w:rsid w:val="007B41A7"/>
    <w:pPr>
      <w:spacing w:after="120"/>
    </w:pPr>
    <w:rPr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7B41A7"/>
    <w:rPr>
      <w:rFonts w:ascii="Times New Roman" w:eastAsia="Times New Roman" w:hAnsi="Times New Roman" w:cs="Times New Roman"/>
      <w:sz w:val="16"/>
      <w:szCs w:val="16"/>
    </w:rPr>
  </w:style>
  <w:style w:type="paragraph" w:customStyle="1" w:styleId="Tesc2comp">
    <w:name w:val="T_esc2comp"/>
    <w:basedOn w:val="Normal"/>
    <w:rsid w:val="007B41A7"/>
    <w:pPr>
      <w:suppressLineNumbers/>
      <w:overflowPunct w:val="0"/>
      <w:autoSpaceDE w:val="0"/>
      <w:autoSpaceDN w:val="0"/>
      <w:adjustRightInd w:val="0"/>
      <w:spacing w:before="100"/>
      <w:jc w:val="both"/>
      <w:textAlignment w:val="baseline"/>
    </w:pPr>
    <w:rPr>
      <w:rFonts w:ascii="Comic Sans MS" w:hAnsi="Comic Sans MS"/>
      <w:sz w:val="20"/>
      <w:szCs w:val="20"/>
    </w:rPr>
  </w:style>
  <w:style w:type="paragraph" w:customStyle="1" w:styleId="Tesc1comp">
    <w:name w:val="T_esc1comp"/>
    <w:basedOn w:val="Tesc2comp"/>
    <w:rsid w:val="007B41A7"/>
    <w:pPr>
      <w:spacing w:before="0"/>
    </w:pPr>
  </w:style>
  <w:style w:type="paragraph" w:customStyle="1" w:styleId="Tesc2">
    <w:name w:val="T_esc2"/>
    <w:basedOn w:val="Normal"/>
    <w:rsid w:val="007B41A7"/>
    <w:pPr>
      <w:suppressLineNumbers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Legenda">
    <w:name w:val="caption"/>
    <w:basedOn w:val="Normal"/>
    <w:next w:val="Normal"/>
    <w:qFormat/>
    <w:rsid w:val="007B41A7"/>
    <w:pPr>
      <w:suppressLineNumber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szCs w:val="20"/>
    </w:rPr>
  </w:style>
  <w:style w:type="paragraph" w:customStyle="1" w:styleId="BodyTextKeep">
    <w:name w:val="Body Text Keep"/>
    <w:basedOn w:val="Normal"/>
    <w:rsid w:val="007B41A7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sz w:val="20"/>
      <w:szCs w:val="20"/>
      <w:lang w:val="en-US"/>
    </w:rPr>
  </w:style>
  <w:style w:type="paragraph" w:customStyle="1" w:styleId="Tesc2compb">
    <w:name w:val="T_esc2comp_b"/>
    <w:basedOn w:val="Tesc2comp"/>
    <w:rsid w:val="007B41A7"/>
    <w:pPr>
      <w:numPr>
        <w:numId w:val="5"/>
      </w:numPr>
    </w:pPr>
    <w:rPr>
      <w:bCs/>
      <w:sz w:val="18"/>
    </w:rPr>
  </w:style>
  <w:style w:type="paragraph" w:customStyle="1" w:styleId="Tesc1compb">
    <w:name w:val="T_esc1comp_b"/>
    <w:basedOn w:val="Tesc1comp"/>
    <w:rsid w:val="007B41A7"/>
    <w:pPr>
      <w:numPr>
        <w:numId w:val="4"/>
      </w:numPr>
    </w:pPr>
    <w:rPr>
      <w:sz w:val="18"/>
    </w:rPr>
  </w:style>
  <w:style w:type="character" w:customStyle="1" w:styleId="grame">
    <w:name w:val="grame"/>
    <w:basedOn w:val="Tipodeletrapredefinidodopargrafo"/>
    <w:rsid w:val="007B41A7"/>
  </w:style>
  <w:style w:type="paragraph" w:styleId="NormalWeb">
    <w:name w:val="Normal (Web)"/>
    <w:basedOn w:val="Normal"/>
    <w:rsid w:val="007B41A7"/>
    <w:pPr>
      <w:spacing w:before="100" w:beforeAutospacing="1" w:after="100" w:afterAutospacing="1"/>
    </w:pPr>
    <w:rPr>
      <w:color w:val="000000"/>
    </w:rPr>
  </w:style>
  <w:style w:type="character" w:styleId="Forte">
    <w:name w:val="Strong"/>
    <w:basedOn w:val="Tipodeletrapredefinidodopargrafo"/>
    <w:qFormat/>
    <w:rsid w:val="007B41A7"/>
    <w:rPr>
      <w:b/>
      <w:bCs/>
    </w:rPr>
  </w:style>
  <w:style w:type="character" w:styleId="nfase">
    <w:name w:val="Emphasis"/>
    <w:basedOn w:val="Tipodeletrapredefinidodopargrafo"/>
    <w:qFormat/>
    <w:rsid w:val="007B41A7"/>
    <w:rPr>
      <w:i/>
      <w:iCs/>
    </w:rPr>
  </w:style>
  <w:style w:type="paragraph" w:styleId="Mapadodocumento">
    <w:name w:val="Document Map"/>
    <w:basedOn w:val="Normal"/>
    <w:link w:val="MapadodocumentoCarcter"/>
    <w:semiHidden/>
    <w:rsid w:val="007B41A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arcter">
    <w:name w:val="Mapa do documento Carácter"/>
    <w:basedOn w:val="Tipodeletrapredefinidodopargrafo"/>
    <w:link w:val="Mapadodocumento"/>
    <w:semiHidden/>
    <w:rsid w:val="007B41A7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txt9">
    <w:name w:val="txt9"/>
    <w:basedOn w:val="Tipodeletrapredefinidodopargrafo"/>
    <w:rsid w:val="007B41A7"/>
    <w:rPr>
      <w:b w:val="0"/>
      <w:bCs w:val="0"/>
      <w:strike w:val="0"/>
      <w:dstrike w:val="0"/>
      <w:color w:val="000000"/>
      <w:u w:val="none"/>
      <w:effect w:val="none"/>
    </w:rPr>
  </w:style>
  <w:style w:type="character" w:customStyle="1" w:styleId="search1">
    <w:name w:val="search1"/>
    <w:basedOn w:val="Tipodeletrapredefinidodopargrafo"/>
    <w:rsid w:val="007B41A7"/>
    <w:rPr>
      <w:b/>
      <w:bCs/>
    </w:rPr>
  </w:style>
  <w:style w:type="character" w:customStyle="1" w:styleId="url5">
    <w:name w:val="url5"/>
    <w:basedOn w:val="Tipodeletrapredefinidodopargrafo"/>
    <w:rsid w:val="007B41A7"/>
    <w:rPr>
      <w:strike w:val="0"/>
      <w:dstrike w:val="0"/>
      <w:color w:val="003399"/>
      <w:sz w:val="23"/>
      <w:szCs w:val="23"/>
      <w:u w:val="none"/>
      <w:effect w:val="none"/>
    </w:rPr>
  </w:style>
  <w:style w:type="character" w:customStyle="1" w:styleId="titulo1">
    <w:name w:val="titulo1"/>
    <w:basedOn w:val="Tipodeletrapredefinidodopargrafo"/>
    <w:rsid w:val="007B41A7"/>
    <w:rPr>
      <w:rFonts w:ascii="Trebuchet MS" w:hAnsi="Trebuchet MS" w:hint="default"/>
      <w:b/>
      <w:bCs/>
      <w:caps/>
      <w:color w:val="3992FF"/>
      <w:sz w:val="24"/>
      <w:szCs w:val="24"/>
    </w:rPr>
  </w:style>
  <w:style w:type="paragraph" w:customStyle="1" w:styleId="style2">
    <w:name w:val="style2"/>
    <w:basedOn w:val="Normal"/>
    <w:rsid w:val="007B41A7"/>
    <w:pPr>
      <w:spacing w:before="100" w:beforeAutospacing="1" w:after="100" w:afterAutospacing="1"/>
    </w:pPr>
    <w:rPr>
      <w:rFonts w:ascii="Verdana" w:hAnsi="Verdana"/>
      <w:color w:val="000033"/>
      <w:sz w:val="15"/>
      <w:szCs w:val="15"/>
      <w:lang w:eastAsia="pt-PT"/>
    </w:rPr>
  </w:style>
  <w:style w:type="character" w:customStyle="1" w:styleId="cinza1">
    <w:name w:val="cinza1"/>
    <w:basedOn w:val="Tipodeletrapredefinidodopargrafo"/>
    <w:rsid w:val="007B41A7"/>
    <w:rPr>
      <w:b/>
      <w:bCs/>
      <w:strike w:val="0"/>
      <w:dstrike w:val="0"/>
      <w:color w:val="000000"/>
      <w:u w:val="none"/>
      <w:effect w:val="none"/>
    </w:rPr>
  </w:style>
  <w:style w:type="character" w:customStyle="1" w:styleId="conteudos1">
    <w:name w:val="conteudos1"/>
    <w:basedOn w:val="Tipodeletrapredefinidodopargrafo"/>
    <w:rsid w:val="007B41A7"/>
    <w:rPr>
      <w:rFonts w:ascii="Verdana" w:hAnsi="Verdana" w:hint="default"/>
      <w:color w:val="666666"/>
      <w:sz w:val="17"/>
      <w:szCs w:val="17"/>
    </w:rPr>
  </w:style>
  <w:style w:type="character" w:customStyle="1" w:styleId="10-bold-white-smallcaps1">
    <w:name w:val="10-bold-white-smallcaps1"/>
    <w:basedOn w:val="Tipodeletrapredefinidodopargrafo"/>
    <w:rsid w:val="007B41A7"/>
    <w:rPr>
      <w:b/>
      <w:bCs/>
      <w:smallCaps/>
      <w:color w:val="FFFFFF"/>
      <w:sz w:val="17"/>
      <w:szCs w:val="17"/>
    </w:rPr>
  </w:style>
  <w:style w:type="character" w:customStyle="1" w:styleId="10-white1">
    <w:name w:val="10-white1"/>
    <w:basedOn w:val="Tipodeletrapredefinidodopargrafo"/>
    <w:rsid w:val="007B41A7"/>
    <w:rPr>
      <w:color w:val="FFFFFF"/>
      <w:sz w:val="15"/>
      <w:szCs w:val="15"/>
    </w:rPr>
  </w:style>
  <w:style w:type="character" w:customStyle="1" w:styleId="url2">
    <w:name w:val="url2"/>
    <w:basedOn w:val="Tipodeletrapredefinidodopargrafo"/>
    <w:rsid w:val="007B41A7"/>
    <w:rPr>
      <w:b w:val="0"/>
      <w:bCs w:val="0"/>
      <w:strike w:val="0"/>
      <w:dstrike w:val="0"/>
      <w:color w:val="60BB43"/>
      <w:sz w:val="15"/>
      <w:szCs w:val="15"/>
      <w:u w:val="none"/>
      <w:effect w:val="none"/>
    </w:rPr>
  </w:style>
  <w:style w:type="paragraph" w:styleId="Avanodecorpodetexto">
    <w:name w:val="Body Text Indent"/>
    <w:basedOn w:val="Normal"/>
    <w:link w:val="AvanodecorpodetextoCarcter"/>
    <w:rsid w:val="007B41A7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rsid w:val="007B41A7"/>
    <w:rPr>
      <w:rFonts w:ascii="Times New Roman" w:eastAsia="Times New Roman" w:hAnsi="Times New Roman" w:cs="Times New Roman"/>
      <w:sz w:val="24"/>
      <w:szCs w:val="24"/>
    </w:rPr>
  </w:style>
  <w:style w:type="paragraph" w:styleId="Avanodecorpodetexto2">
    <w:name w:val="Body Text Indent 2"/>
    <w:basedOn w:val="Normal"/>
    <w:link w:val="Avanodecorpodetexto2Carcter"/>
    <w:rsid w:val="007B41A7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rsid w:val="007B41A7"/>
    <w:rPr>
      <w:rFonts w:ascii="Times New Roman" w:eastAsia="Times New Roman" w:hAnsi="Times New Roman" w:cs="Times New Roman"/>
      <w:sz w:val="24"/>
      <w:szCs w:val="24"/>
    </w:rPr>
  </w:style>
  <w:style w:type="character" w:customStyle="1" w:styleId="dat1">
    <w:name w:val="dat1"/>
    <w:basedOn w:val="Tipodeletrapredefinidodopargrafo"/>
    <w:rsid w:val="007B41A7"/>
    <w:rPr>
      <w:rFonts w:ascii="Arial" w:hAnsi="Arial" w:cs="Arial" w:hint="default"/>
      <w:color w:val="7E7E7E"/>
      <w:sz w:val="14"/>
      <w:szCs w:val="14"/>
    </w:rPr>
  </w:style>
  <w:style w:type="character" w:customStyle="1" w:styleId="arial18preto1">
    <w:name w:val="arial_18_preto1"/>
    <w:basedOn w:val="Tipodeletrapredefinidodopargrafo"/>
    <w:rsid w:val="007B41A7"/>
    <w:rPr>
      <w:rFonts w:ascii="Arial" w:hAnsi="Arial" w:cs="Arial" w:hint="default"/>
      <w:b/>
      <w:bCs/>
      <w:strike w:val="0"/>
      <w:dstrike w:val="0"/>
      <w:color w:val="000000"/>
      <w:sz w:val="27"/>
      <w:szCs w:val="27"/>
      <w:u w:val="none"/>
      <w:effect w:val="none"/>
    </w:rPr>
  </w:style>
  <w:style w:type="character" w:customStyle="1" w:styleId="arial11preto1">
    <w:name w:val="arial_11_preto1"/>
    <w:basedOn w:val="Tipodeletrapredefinidodopargrafo"/>
    <w:rsid w:val="007B41A7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styleId="TextodoMarcadordePosio">
    <w:name w:val="Placeholder Text"/>
    <w:basedOn w:val="Tipodeletrapredefinidodopargrafo"/>
    <w:uiPriority w:val="99"/>
    <w:semiHidden/>
    <w:rsid w:val="007B41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74AD3-87FB-4AD3-86A8-7F95D237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5575</Words>
  <Characters>30108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35612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 Rebelo</dc:creator>
  <cp:lastModifiedBy>Maria Lopes Santos</cp:lastModifiedBy>
  <cp:revision>3</cp:revision>
  <cp:lastPrinted>2015-02-12T08:55:00Z</cp:lastPrinted>
  <dcterms:created xsi:type="dcterms:W3CDTF">2015-05-15T10:08:00Z</dcterms:created>
  <dcterms:modified xsi:type="dcterms:W3CDTF">2015-05-15T10:13:00Z</dcterms:modified>
</cp:coreProperties>
</file>