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566D50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336C2C">
        <w:rPr>
          <w:rFonts w:ascii="Georgia" w:hAnsi="Georgia" w:cs="Georgia"/>
          <w:color w:val="000000"/>
          <w:sz w:val="28"/>
          <w:szCs w:val="28"/>
        </w:rPr>
        <w:t>3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566D50">
      <w:pPr>
        <w:autoSpaceDE w:val="0"/>
        <w:autoSpaceDN w:val="0"/>
        <w:adjustRightInd w:val="0"/>
        <w:spacing w:after="0"/>
        <w:jc w:val="both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566D50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Default="002A1553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F51775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>A esterilização permite a eliminação de outros microrganismos que possam estar a contaminar os frascos</w:t>
      </w:r>
      <w:r>
        <w:rPr>
          <w:rFonts w:ascii="Georgia" w:hAnsi="Georgia" w:cs="Arial-BoldMT"/>
          <w:bCs/>
          <w:sz w:val="18"/>
          <w:szCs w:val="18"/>
        </w:rPr>
        <w:t xml:space="preserve"> e o meio de cultura</w:t>
      </w:r>
      <w:r w:rsidRPr="00FE6A96">
        <w:rPr>
          <w:rFonts w:ascii="Georgia" w:hAnsi="Georgia" w:cs="Arial-BoldMT"/>
          <w:bCs/>
          <w:sz w:val="18"/>
          <w:szCs w:val="18"/>
        </w:rPr>
        <w:t>, garantindo que os processos metabólicos ocorridos durante a experiência são relativos apenas às leveduras</w:t>
      </w:r>
      <w:r>
        <w:rPr>
          <w:rFonts w:ascii="Georgia" w:hAnsi="Georgia" w:cs="Arial-BoldMT"/>
          <w:bCs/>
          <w:sz w:val="18"/>
          <w:szCs w:val="18"/>
        </w:rPr>
        <w:t xml:space="preserve"> estudadas</w:t>
      </w:r>
      <w:r w:rsidR="00E16373">
        <w:rPr>
          <w:rFonts w:ascii="Georgia" w:hAnsi="Georgia" w:cs="Arial-BoldMT"/>
          <w:bCs/>
          <w:sz w:val="18"/>
          <w:szCs w:val="18"/>
        </w:rPr>
        <w:t xml:space="preserve"> e não à presença de outros organismos</w:t>
      </w:r>
      <w:r w:rsidRPr="00FE6A96">
        <w:rPr>
          <w:rFonts w:ascii="Georgia" w:hAnsi="Georgia" w:cs="Arial-BoldMT"/>
          <w:bCs/>
          <w:sz w:val="18"/>
          <w:szCs w:val="18"/>
        </w:rPr>
        <w:t>.</w:t>
      </w: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A – V;</w:t>
      </w:r>
      <w:r w:rsidRPr="00FE6A96">
        <w:rPr>
          <w:rFonts w:ascii="Georgia" w:hAnsi="Georgia" w:cs="Arial-BoldMT"/>
          <w:bCs/>
          <w:sz w:val="18"/>
          <w:szCs w:val="18"/>
        </w:rPr>
        <w:t xml:space="preserve"> B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C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D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E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F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G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FE6A96">
        <w:rPr>
          <w:rFonts w:ascii="Georgia" w:hAnsi="Georgia" w:cs="Arial-BoldMT"/>
          <w:bCs/>
          <w:sz w:val="18"/>
          <w:szCs w:val="18"/>
        </w:rPr>
        <w:t xml:space="preserve"> H – V </w:t>
      </w:r>
    </w:p>
    <w:p w:rsidR="00336C2C" w:rsidRPr="00336C2C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(D)</w:t>
      </w: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>Opção</w:t>
      </w:r>
      <w:r w:rsidRPr="00336C2C">
        <w:rPr>
          <w:rFonts w:ascii="Georgia" w:hAnsi="Georgia" w:cs="Arial-BoldMT"/>
          <w:bCs/>
          <w:sz w:val="18"/>
          <w:szCs w:val="18"/>
        </w:rPr>
        <w:t xml:space="preserve"> </w:t>
      </w:r>
      <w:r w:rsidRPr="00336C2C">
        <w:rPr>
          <w:rFonts w:ascii="Georgia" w:hAnsi="Georgia" w:cs="Arial-BoldMT"/>
          <w:b/>
          <w:bCs/>
          <w:sz w:val="18"/>
          <w:szCs w:val="18"/>
        </w:rPr>
        <w:t>(C)</w:t>
      </w: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>Opção</w:t>
      </w:r>
      <w:r w:rsidRPr="00336C2C">
        <w:rPr>
          <w:rFonts w:ascii="Georgia" w:hAnsi="Georgia" w:cs="Arial-BoldMT"/>
          <w:bCs/>
          <w:sz w:val="18"/>
          <w:szCs w:val="18"/>
        </w:rPr>
        <w:t xml:space="preserve"> </w:t>
      </w:r>
      <w:r w:rsidRPr="00336C2C">
        <w:rPr>
          <w:rFonts w:ascii="Georgia" w:hAnsi="Georgia" w:cs="Arial-BoldMT"/>
          <w:b/>
          <w:bCs/>
          <w:sz w:val="18"/>
          <w:szCs w:val="18"/>
        </w:rPr>
        <w:t>(A)</w:t>
      </w:r>
    </w:p>
    <w:p w:rsidR="00336C2C" w:rsidRPr="00336C2C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(D)</w:t>
      </w:r>
    </w:p>
    <w:p w:rsidR="00336C2C" w:rsidRPr="00336C2C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(B)</w:t>
      </w: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(B)</w:t>
      </w:r>
    </w:p>
    <w:p w:rsidR="00336C2C" w:rsidRPr="00FE6A96" w:rsidRDefault="00336C2C" w:rsidP="00336C2C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FE6A96">
        <w:rPr>
          <w:rFonts w:ascii="Georgia" w:hAnsi="Georgia" w:cs="Arial-BoldMT"/>
          <w:bCs/>
          <w:sz w:val="18"/>
          <w:szCs w:val="18"/>
        </w:rPr>
        <w:t xml:space="preserve">Durante o processo de fermentação alcoólica </w:t>
      </w:r>
      <w:r>
        <w:rPr>
          <w:rFonts w:ascii="Georgia" w:hAnsi="Georgia" w:cs="Arial-BoldMT"/>
          <w:bCs/>
          <w:sz w:val="18"/>
          <w:szCs w:val="18"/>
        </w:rPr>
        <w:t>do vinho, as leveduras convertem a glicose em CO</w:t>
      </w:r>
      <w:r w:rsidRPr="00336C2C">
        <w:rPr>
          <w:rFonts w:ascii="Georgia" w:hAnsi="Georgia" w:cs="Arial-BoldMT"/>
          <w:bCs/>
          <w:sz w:val="18"/>
          <w:szCs w:val="18"/>
          <w:vertAlign w:val="subscript"/>
        </w:rPr>
        <w:t>2</w:t>
      </w:r>
      <w:r>
        <w:rPr>
          <w:rFonts w:ascii="Georgia" w:hAnsi="Georgia" w:cs="Arial-BoldMT"/>
          <w:bCs/>
          <w:sz w:val="18"/>
          <w:szCs w:val="18"/>
        </w:rPr>
        <w:t xml:space="preserve"> e álcool etílico, na ausência de oxigénio. O álcool acumula-se no meio e quando atinge os 12 a 15% torna-se tóxico, destruindo as leveduras e interrompendo a fermentação de forma natural ao fim de alguns dias.</w:t>
      </w:r>
      <w:r w:rsidRPr="00FE6A96">
        <w:rPr>
          <w:rFonts w:ascii="Georgia" w:hAnsi="Georgia" w:cs="Arial-BoldMT"/>
          <w:bCs/>
          <w:sz w:val="18"/>
          <w:szCs w:val="18"/>
        </w:rPr>
        <w:t xml:space="preserve"> </w:t>
      </w:r>
    </w:p>
    <w:p w:rsidR="00D8532E" w:rsidRPr="00B95E84" w:rsidRDefault="00D8532E" w:rsidP="00566D50">
      <w:pPr>
        <w:pStyle w:val="ListParagraph"/>
        <w:spacing w:after="0"/>
        <w:jc w:val="both"/>
        <w:rPr>
          <w:rFonts w:ascii="Georgia" w:hAnsi="Georgia" w:cs="Arial-BoldMT"/>
          <w:bCs/>
          <w:sz w:val="18"/>
          <w:szCs w:val="18"/>
        </w:rPr>
      </w:pPr>
    </w:p>
    <w:p w:rsidR="00F42729" w:rsidRPr="00F853C2" w:rsidRDefault="00F42729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Default="00A2371B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F51775" w:rsidRPr="004A353C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(A)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(B)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>A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B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C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D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E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F – V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G – F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336C2C">
        <w:rPr>
          <w:rFonts w:ascii="Georgia" w:hAnsi="Georgia" w:cs="Arial-BoldMT"/>
          <w:bCs/>
          <w:sz w:val="18"/>
          <w:szCs w:val="18"/>
        </w:rPr>
        <w:t xml:space="preserve"> H – F 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>B – A – E – D – C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As células de </w:t>
      </w:r>
      <w:proofErr w:type="spellStart"/>
      <w:r w:rsidRPr="00336C2C">
        <w:rPr>
          <w:rFonts w:ascii="Georgia" w:hAnsi="Georgia" w:cs="Arial-BoldMT"/>
          <w:bCs/>
          <w:sz w:val="18"/>
          <w:szCs w:val="18"/>
        </w:rPr>
        <w:t>Schwann</w:t>
      </w:r>
      <w:proofErr w:type="spellEnd"/>
      <w:r w:rsidRPr="00336C2C">
        <w:rPr>
          <w:rFonts w:ascii="Georgia" w:hAnsi="Georgia" w:cs="Arial-BoldMT"/>
          <w:bCs/>
          <w:sz w:val="18"/>
          <w:szCs w:val="18"/>
        </w:rPr>
        <w:t xml:space="preserve"> são responsáveis pela produção de mielina. Este lípido isola eletricamente os neurónios, aumentando a velocidade de transmissão do potencial de ação – impulso elétrico.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(A)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(D)</w:t>
      </w:r>
    </w:p>
    <w:p w:rsidR="00336C2C" w:rsidRPr="00336C2C" w:rsidRDefault="00336C2C" w:rsidP="00336C2C">
      <w:pPr>
        <w:pStyle w:val="ListParagraph"/>
        <w:numPr>
          <w:ilvl w:val="0"/>
          <w:numId w:val="16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336C2C">
        <w:rPr>
          <w:rFonts w:ascii="Georgia" w:hAnsi="Georgia" w:cs="Arial-BoldMT"/>
          <w:bCs/>
          <w:sz w:val="18"/>
          <w:szCs w:val="18"/>
        </w:rPr>
        <w:t xml:space="preserve">Opção </w:t>
      </w:r>
      <w:r w:rsidRPr="00336C2C">
        <w:rPr>
          <w:rFonts w:ascii="Georgia" w:hAnsi="Georgia" w:cs="Arial-BoldMT"/>
          <w:b/>
          <w:bCs/>
          <w:sz w:val="18"/>
          <w:szCs w:val="18"/>
        </w:rPr>
        <w:t>(C)</w:t>
      </w:r>
    </w:p>
    <w:p w:rsidR="00336C2C" w:rsidRPr="00336C2C" w:rsidRDefault="00336C2C" w:rsidP="00336C2C">
      <w:pPr>
        <w:spacing w:after="0"/>
        <w:ind w:left="709" w:hanging="425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9.1.</w:t>
      </w:r>
      <w:r>
        <w:rPr>
          <w:rFonts w:ascii="Georgia" w:hAnsi="Georgia" w:cs="Arial-BoldMT"/>
          <w:b/>
          <w:bCs/>
          <w:sz w:val="18"/>
          <w:szCs w:val="18"/>
        </w:rPr>
        <w:tab/>
      </w:r>
      <w:r w:rsidRPr="00336C2C">
        <w:rPr>
          <w:rFonts w:ascii="Georgia" w:hAnsi="Georgia" w:cs="Arial-BoldMT"/>
          <w:bCs/>
          <w:sz w:val="18"/>
          <w:szCs w:val="18"/>
        </w:rPr>
        <w:t xml:space="preserve">A experiência de </w:t>
      </w:r>
      <w:proofErr w:type="spellStart"/>
      <w:r w:rsidRPr="00336C2C">
        <w:rPr>
          <w:rFonts w:ascii="Georgia" w:hAnsi="Georgia" w:cs="Arial-BoldMT"/>
          <w:bCs/>
          <w:sz w:val="18"/>
          <w:szCs w:val="18"/>
        </w:rPr>
        <w:t>Dale</w:t>
      </w:r>
      <w:proofErr w:type="spellEnd"/>
      <w:r w:rsidRPr="00336C2C">
        <w:rPr>
          <w:rFonts w:ascii="Georgia" w:hAnsi="Georgia" w:cs="Arial-BoldMT"/>
          <w:bCs/>
          <w:sz w:val="18"/>
          <w:szCs w:val="18"/>
        </w:rPr>
        <w:t xml:space="preserve"> e </w:t>
      </w:r>
      <w:proofErr w:type="spellStart"/>
      <w:r w:rsidRPr="00336C2C">
        <w:rPr>
          <w:rFonts w:ascii="Georgia" w:hAnsi="Georgia" w:cs="Arial-BoldMT"/>
          <w:bCs/>
          <w:sz w:val="18"/>
          <w:szCs w:val="18"/>
        </w:rPr>
        <w:t>Loewi</w:t>
      </w:r>
      <w:proofErr w:type="spellEnd"/>
      <w:r w:rsidRPr="00336C2C">
        <w:rPr>
          <w:rFonts w:ascii="Georgia" w:hAnsi="Georgia" w:cs="Arial-BoldMT"/>
          <w:bCs/>
          <w:sz w:val="18"/>
          <w:szCs w:val="18"/>
        </w:rPr>
        <w:t xml:space="preserve"> permitiu concluir que os compo</w:t>
      </w:r>
      <w:r>
        <w:rPr>
          <w:rFonts w:ascii="Georgia" w:hAnsi="Georgia" w:cs="Arial-BoldMT"/>
          <w:bCs/>
          <w:sz w:val="18"/>
          <w:szCs w:val="18"/>
        </w:rPr>
        <w:t>stos químicos presentes nos flui</w:t>
      </w:r>
      <w:r w:rsidRPr="00336C2C">
        <w:rPr>
          <w:rFonts w:ascii="Georgia" w:hAnsi="Georgia" w:cs="Arial-BoldMT"/>
          <w:bCs/>
          <w:sz w:val="18"/>
          <w:szCs w:val="18"/>
        </w:rPr>
        <w:t>dos em redor das sinapses do coração de uma rã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336C2C">
        <w:rPr>
          <w:rFonts w:ascii="Georgia" w:hAnsi="Georgia" w:cs="Arial-BoldMT"/>
          <w:bCs/>
          <w:sz w:val="18"/>
          <w:szCs w:val="18"/>
        </w:rPr>
        <w:t xml:space="preserve"> cujos nervos tinham sido estimulados para reduzir o batimento cardíaco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336C2C">
        <w:rPr>
          <w:rFonts w:ascii="Georgia" w:hAnsi="Georgia" w:cs="Arial-BoldMT"/>
          <w:bCs/>
          <w:sz w:val="18"/>
          <w:szCs w:val="18"/>
        </w:rPr>
        <w:t xml:space="preserve"> inibiram os batimentos de uma outra rã quando injetados no seu coração. Desta forma, aqueles investigadores demonstraram que nas sinapses a transmissão de sinal ocorre via sinal químico e não sinal elétrico, pois neste caso o fluido injetado não inibiria o batimento cardíaco da rã.</w:t>
      </w:r>
    </w:p>
    <w:p w:rsidR="00336C2C" w:rsidRPr="00336C2C" w:rsidRDefault="00336C2C" w:rsidP="00336C2C">
      <w:pPr>
        <w:spacing w:after="0"/>
        <w:ind w:left="709" w:hanging="425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 xml:space="preserve">9.2. </w:t>
      </w:r>
      <w:r w:rsidRPr="00336C2C">
        <w:rPr>
          <w:rFonts w:ascii="Georgia" w:hAnsi="Georgia" w:cs="Arial-BoldMT"/>
          <w:bCs/>
          <w:sz w:val="18"/>
          <w:szCs w:val="18"/>
        </w:rPr>
        <w:t>Opção A</w:t>
      </w:r>
    </w:p>
    <w:p w:rsidR="00C76D7C" w:rsidRPr="00D8532E" w:rsidRDefault="00C76D7C" w:rsidP="00566D50">
      <w:pPr>
        <w:spacing w:after="0"/>
        <w:ind w:left="360"/>
        <w:jc w:val="both"/>
        <w:rPr>
          <w:rFonts w:ascii="Georgia" w:hAnsi="Georgia" w:cs="Arial-BoldMT"/>
          <w:bCs/>
          <w:sz w:val="18"/>
          <w:szCs w:val="18"/>
        </w:rPr>
      </w:pPr>
      <w:r w:rsidRPr="00D8532E">
        <w:rPr>
          <w:rFonts w:ascii="Georgia" w:hAnsi="Georgia" w:cs="Arial-BoldMT"/>
          <w:bCs/>
          <w:sz w:val="18"/>
          <w:szCs w:val="18"/>
        </w:rPr>
        <w:t xml:space="preserve"> </w:t>
      </w:r>
    </w:p>
    <w:p w:rsidR="001B2B3C" w:rsidRPr="00F853C2" w:rsidRDefault="001B2B3C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A9795C" w:rsidRDefault="00A9795C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F51775" w:rsidRPr="004A353C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0239F9" w:rsidRPr="000239F9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(A)</w:t>
      </w:r>
    </w:p>
    <w:p w:rsidR="000239F9" w:rsidRPr="000239F9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(B)</w:t>
      </w:r>
    </w:p>
    <w:p w:rsidR="000239F9" w:rsidRPr="000239F9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(A)</w:t>
      </w:r>
    </w:p>
    <w:p w:rsidR="000239F9" w:rsidRPr="000239F9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(D)</w:t>
      </w:r>
    </w:p>
    <w:p w:rsidR="000239F9" w:rsidRPr="00E16373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E16373">
        <w:rPr>
          <w:rFonts w:ascii="Georgia" w:hAnsi="Georgia" w:cs="Arial-BoldMT"/>
          <w:bCs/>
          <w:sz w:val="18"/>
          <w:szCs w:val="18"/>
        </w:rPr>
        <w:t>As giberelinas aumentam a produção de gl</w:t>
      </w:r>
      <w:r w:rsidR="00E16373" w:rsidRPr="00E16373">
        <w:rPr>
          <w:rFonts w:ascii="Georgia" w:hAnsi="Georgia" w:cs="Arial-BoldMT"/>
          <w:bCs/>
          <w:sz w:val="18"/>
          <w:szCs w:val="18"/>
        </w:rPr>
        <w:t>i</w:t>
      </w:r>
      <w:r w:rsidRPr="00E16373">
        <w:rPr>
          <w:rFonts w:ascii="Georgia" w:hAnsi="Georgia" w:cs="Arial-BoldMT"/>
          <w:bCs/>
          <w:sz w:val="18"/>
          <w:szCs w:val="18"/>
        </w:rPr>
        <w:t>cose</w:t>
      </w:r>
      <w:r w:rsidR="00E16373" w:rsidRPr="00E16373">
        <w:rPr>
          <w:rFonts w:ascii="Georgia" w:hAnsi="Georgia" w:cs="Arial-BoldMT"/>
          <w:bCs/>
          <w:sz w:val="18"/>
          <w:szCs w:val="18"/>
        </w:rPr>
        <w:t>,</w:t>
      </w:r>
      <w:r w:rsidRPr="00E16373">
        <w:rPr>
          <w:rFonts w:ascii="Georgia" w:hAnsi="Georgia" w:cs="Arial-BoldMT"/>
          <w:bCs/>
          <w:sz w:val="18"/>
          <w:szCs w:val="18"/>
        </w:rPr>
        <w:t xml:space="preserve"> fomentando o desenvolvimento das uvas e o aumento do seu teor de açúcar.</w:t>
      </w:r>
    </w:p>
    <w:p w:rsidR="000239F9" w:rsidRPr="00E16373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E16373">
        <w:rPr>
          <w:rFonts w:ascii="Georgia" w:hAnsi="Georgia" w:cs="Arial-BoldMT"/>
          <w:bCs/>
          <w:sz w:val="18"/>
          <w:szCs w:val="18"/>
        </w:rPr>
        <w:t>Promoção d</w:t>
      </w:r>
      <w:r w:rsidR="00E16373">
        <w:rPr>
          <w:rFonts w:ascii="Georgia" w:hAnsi="Georgia" w:cs="Arial-BoldMT"/>
          <w:bCs/>
          <w:sz w:val="18"/>
          <w:szCs w:val="18"/>
        </w:rPr>
        <w:t>o</w:t>
      </w:r>
      <w:bookmarkStart w:id="0" w:name="_GoBack"/>
      <w:bookmarkEnd w:id="0"/>
      <w:r w:rsidRPr="00E16373">
        <w:rPr>
          <w:rFonts w:ascii="Georgia" w:hAnsi="Georgia" w:cs="Arial-BoldMT"/>
          <w:bCs/>
          <w:sz w:val="18"/>
          <w:szCs w:val="18"/>
        </w:rPr>
        <w:t xml:space="preserve"> alongamento dos caules ou o crescimento de raízes (enraizamento).</w:t>
      </w:r>
    </w:p>
    <w:p w:rsidR="00876FD1" w:rsidRPr="00E16373" w:rsidRDefault="000239F9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E16373">
        <w:rPr>
          <w:rFonts w:ascii="Georgia" w:hAnsi="Georgia" w:cs="Arial-BoldMT"/>
          <w:bCs/>
          <w:sz w:val="18"/>
          <w:szCs w:val="18"/>
        </w:rPr>
        <w:t>Afirmações B, C, F e G</w:t>
      </w:r>
    </w:p>
    <w:p w:rsidR="00E16373" w:rsidRPr="00E16373" w:rsidRDefault="00E16373" w:rsidP="000239F9">
      <w:pPr>
        <w:pStyle w:val="ListParagraph"/>
        <w:numPr>
          <w:ilvl w:val="0"/>
          <w:numId w:val="17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E1637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E16373">
        <w:rPr>
          <w:rFonts w:ascii="Georgia" w:hAnsi="Georgia" w:cs="Arial-BoldMT"/>
          <w:b/>
          <w:bCs/>
          <w:sz w:val="18"/>
          <w:szCs w:val="18"/>
        </w:rPr>
        <w:t>(B)</w:t>
      </w:r>
    </w:p>
    <w:p w:rsidR="00875037" w:rsidRDefault="00875037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0239F9" w:rsidRDefault="000239F9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0239F9" w:rsidRPr="00F943ED" w:rsidRDefault="000239F9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D13BBD" w:rsidRDefault="00D13BBD" w:rsidP="00566D50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lastRenderedPageBreak/>
        <w:t>GRUPO IV</w:t>
      </w:r>
    </w:p>
    <w:p w:rsidR="00F51775" w:rsidRDefault="00F51775" w:rsidP="00566D50">
      <w:pPr>
        <w:autoSpaceDE w:val="0"/>
        <w:autoSpaceDN w:val="0"/>
        <w:adjustRightInd w:val="0"/>
        <w:spacing w:after="0"/>
        <w:jc w:val="both"/>
        <w:rPr>
          <w:rFonts w:ascii="Georgia" w:hAnsi="Georgia" w:cs="TimesNewRomanPS-BoldMT"/>
          <w:b/>
          <w:bCs/>
          <w:sz w:val="18"/>
          <w:szCs w:val="18"/>
        </w:rPr>
      </w:pPr>
    </w:p>
    <w:p w:rsidR="000239F9" w:rsidRPr="000239F9" w:rsidRDefault="000239F9" w:rsidP="000239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>A – 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B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C – III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D – 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E – III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F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G – III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0239F9">
        <w:rPr>
          <w:rFonts w:ascii="Georgia" w:hAnsi="Georgia" w:cs="Arial-BoldMT"/>
          <w:bCs/>
          <w:sz w:val="18"/>
          <w:szCs w:val="18"/>
        </w:rPr>
        <w:t xml:space="preserve"> H – II</w:t>
      </w:r>
    </w:p>
    <w:p w:rsidR="000239F9" w:rsidRPr="000239F9" w:rsidRDefault="000239F9" w:rsidP="000239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(C)</w:t>
      </w:r>
    </w:p>
    <w:p w:rsidR="000239F9" w:rsidRPr="000239F9" w:rsidRDefault="000239F9" w:rsidP="000239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(D)</w:t>
      </w:r>
    </w:p>
    <w:p w:rsidR="000239F9" w:rsidRPr="000239F9" w:rsidRDefault="000239F9" w:rsidP="000239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Opção </w:t>
      </w:r>
      <w:r w:rsidRPr="000239F9">
        <w:rPr>
          <w:rFonts w:ascii="Georgia" w:hAnsi="Georgia" w:cs="Arial-BoldMT"/>
          <w:b/>
          <w:bCs/>
          <w:sz w:val="18"/>
          <w:szCs w:val="18"/>
        </w:rPr>
        <w:t>(A)</w:t>
      </w:r>
    </w:p>
    <w:p w:rsidR="00F51775" w:rsidRPr="000239F9" w:rsidRDefault="000239F9" w:rsidP="000239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0239F9">
        <w:rPr>
          <w:rFonts w:ascii="Georgia" w:hAnsi="Georgia" w:cs="Arial-BoldMT"/>
          <w:bCs/>
          <w:sz w:val="18"/>
          <w:szCs w:val="18"/>
        </w:rPr>
        <w:t xml:space="preserve">Considerando que o registo fóssil torna evidente o declínio de muitas espécies, nomeadamente dos dinossáurios, antes dos 66 </w:t>
      </w:r>
      <w:proofErr w:type="spellStart"/>
      <w:r w:rsidRPr="000239F9">
        <w:rPr>
          <w:rFonts w:ascii="Georgia" w:hAnsi="Georgia" w:cs="Arial-BoldMT"/>
          <w:bCs/>
          <w:sz w:val="18"/>
          <w:szCs w:val="18"/>
        </w:rPr>
        <w:t>M</w:t>
      </w:r>
      <w:r>
        <w:rPr>
          <w:rFonts w:ascii="Georgia" w:hAnsi="Georgia" w:cs="Arial-BoldMT"/>
          <w:bCs/>
          <w:sz w:val="18"/>
          <w:szCs w:val="18"/>
        </w:rPr>
        <w:t>.</w:t>
      </w:r>
      <w:r w:rsidRPr="000239F9">
        <w:rPr>
          <w:rFonts w:ascii="Georgia" w:hAnsi="Georgia" w:cs="Arial-BoldMT"/>
          <w:bCs/>
          <w:sz w:val="18"/>
          <w:szCs w:val="18"/>
        </w:rPr>
        <w:t>a</w:t>
      </w:r>
      <w:proofErr w:type="spellEnd"/>
      <w:r>
        <w:rPr>
          <w:rFonts w:ascii="Georgia" w:hAnsi="Georgia" w:cs="Arial-BoldMT"/>
          <w:bCs/>
          <w:sz w:val="18"/>
          <w:szCs w:val="18"/>
        </w:rPr>
        <w:t>.</w:t>
      </w:r>
      <w:r w:rsidRPr="000239F9">
        <w:rPr>
          <w:rFonts w:ascii="Georgia" w:hAnsi="Georgia" w:cs="Arial-BoldMT"/>
          <w:bCs/>
          <w:sz w:val="18"/>
          <w:szCs w:val="18"/>
        </w:rPr>
        <w:t xml:space="preserve">, é possível argumentar que a intensa atividade vulcânica no Decão pode ter afetado negativamente os seres vivos pelo globo. Este declínio foi agravado pelo choque de um meteorito há 66 </w:t>
      </w:r>
      <w:proofErr w:type="spellStart"/>
      <w:r w:rsidRPr="000239F9">
        <w:rPr>
          <w:rFonts w:ascii="Georgia" w:hAnsi="Georgia" w:cs="Arial-BoldMT"/>
          <w:bCs/>
          <w:sz w:val="18"/>
          <w:szCs w:val="18"/>
        </w:rPr>
        <w:t>M</w:t>
      </w:r>
      <w:r>
        <w:rPr>
          <w:rFonts w:ascii="Georgia" w:hAnsi="Georgia" w:cs="Arial-BoldMT"/>
          <w:bCs/>
          <w:sz w:val="18"/>
          <w:szCs w:val="18"/>
        </w:rPr>
        <w:t>.</w:t>
      </w:r>
      <w:r w:rsidRPr="000239F9">
        <w:rPr>
          <w:rFonts w:ascii="Georgia" w:hAnsi="Georgia" w:cs="Arial-BoldMT"/>
          <w:bCs/>
          <w:sz w:val="18"/>
          <w:szCs w:val="18"/>
        </w:rPr>
        <w:t>a</w:t>
      </w:r>
      <w:proofErr w:type="spellEnd"/>
      <w:r w:rsidRPr="000239F9">
        <w:rPr>
          <w:rFonts w:ascii="Georgia" w:hAnsi="Georgia" w:cs="Arial-BoldMT"/>
          <w:bCs/>
          <w:sz w:val="18"/>
          <w:szCs w:val="18"/>
        </w:rPr>
        <w:t xml:space="preserve">., tendo originado a extinção </w:t>
      </w:r>
      <w:r>
        <w:rPr>
          <w:rFonts w:ascii="Georgia" w:hAnsi="Georgia" w:cs="Arial-BoldMT"/>
          <w:bCs/>
          <w:sz w:val="18"/>
          <w:szCs w:val="18"/>
        </w:rPr>
        <w:t>de muitos grupos de organismos.</w:t>
      </w:r>
    </w:p>
    <w:sectPr w:rsidR="00F51775" w:rsidRPr="000239F9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F3" w:rsidRDefault="00E27AF3" w:rsidP="00DB7725">
      <w:pPr>
        <w:spacing w:after="0" w:line="240" w:lineRule="auto"/>
      </w:pPr>
      <w:r>
        <w:separator/>
      </w:r>
    </w:p>
  </w:endnote>
  <w:endnote w:type="continuationSeparator" w:id="0">
    <w:p w:rsidR="00E27AF3" w:rsidRDefault="00E27AF3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09AAAD02" wp14:editId="73BBD54E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E27AF3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F51775">
                      <w:rPr>
                        <w:color w:val="808080" w:themeColor="background1" w:themeShade="80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w:r>
        <w:r w:rsidR="00E27AF3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F3" w:rsidRDefault="00E27AF3" w:rsidP="00DB7725">
      <w:pPr>
        <w:spacing w:after="0" w:line="240" w:lineRule="auto"/>
      </w:pPr>
      <w:r>
        <w:separator/>
      </w:r>
    </w:p>
  </w:footnote>
  <w:footnote w:type="continuationSeparator" w:id="0">
    <w:p w:rsidR="00E27AF3" w:rsidRDefault="00E27AF3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6C243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FCD4A8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C2866DE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10"/>
  </w:num>
  <w:num w:numId="10">
    <w:abstractNumId w:val="0"/>
  </w:num>
  <w:num w:numId="11">
    <w:abstractNumId w:val="12"/>
  </w:num>
  <w:num w:numId="12">
    <w:abstractNumId w:val="11"/>
  </w:num>
  <w:num w:numId="13">
    <w:abstractNumId w:val="3"/>
  </w:num>
  <w:num w:numId="14">
    <w:abstractNumId w:val="9"/>
  </w:num>
  <w:num w:numId="15">
    <w:abstractNumId w:val="13"/>
  </w:num>
  <w:num w:numId="16">
    <w:abstractNumId w:val="15"/>
  </w:num>
  <w:num w:numId="1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239F9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36C2C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963F0"/>
    <w:rsid w:val="004A353C"/>
    <w:rsid w:val="004B356F"/>
    <w:rsid w:val="004C2426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66D50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14C2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C60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75037"/>
    <w:rsid w:val="00876FD1"/>
    <w:rsid w:val="00882416"/>
    <w:rsid w:val="00884700"/>
    <w:rsid w:val="00886BEA"/>
    <w:rsid w:val="0089026C"/>
    <w:rsid w:val="00891FC4"/>
    <w:rsid w:val="008A74BE"/>
    <w:rsid w:val="008A78D1"/>
    <w:rsid w:val="008C136E"/>
    <w:rsid w:val="008C529A"/>
    <w:rsid w:val="008D4D60"/>
    <w:rsid w:val="008F0F0E"/>
    <w:rsid w:val="008F49D4"/>
    <w:rsid w:val="00901B37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71F64"/>
    <w:rsid w:val="00A74A1A"/>
    <w:rsid w:val="00A74DFF"/>
    <w:rsid w:val="00A77FE3"/>
    <w:rsid w:val="00A830D7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76D7C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16CE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532E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16373"/>
    <w:rsid w:val="00E21AB8"/>
    <w:rsid w:val="00E234E0"/>
    <w:rsid w:val="00E27AF3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658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1775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F516-81D8-4FEF-9469-E4AC1807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376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21</cp:revision>
  <dcterms:created xsi:type="dcterms:W3CDTF">2016-01-16T21:38:00Z</dcterms:created>
  <dcterms:modified xsi:type="dcterms:W3CDTF">2017-05-02T10:39:00Z</dcterms:modified>
</cp:coreProperties>
</file>