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B01CBE" w:rsidRPr="00CD0548" w:rsidRDefault="00CD0548" w:rsidP="00B01CBE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32"/>
          <w:szCs w:val="24"/>
        </w:rPr>
      </w:pPr>
      <w:r w:rsidRPr="005A164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8CCE757" wp14:editId="47D3C72D">
                <wp:simplePos x="0" y="0"/>
                <wp:positionH relativeFrom="page">
                  <wp:posOffset>-13556</wp:posOffset>
                </wp:positionH>
                <wp:positionV relativeFrom="paragraph">
                  <wp:posOffset>-541714</wp:posOffset>
                </wp:positionV>
                <wp:extent cx="7562850" cy="2857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6597A4" id="Rectangle 1" o:spid="_x0000_s1026" style="position:absolute;margin-left:-1.05pt;margin-top:-42.65pt;width:595.5pt;height:22.5pt;z-index: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" fillcolor="#7030a0" strokecolor="#243f60 [1604]" strokeweight="2pt">
                <w10:wrap anchorx="page"/>
              </v:rect>
            </w:pict>
          </mc:Fallback>
        </mc:AlternateContent>
      </w:r>
      <w:r w:rsidR="00B01CBE" w:rsidRPr="00CD0548">
        <w:rPr>
          <w:rFonts w:cs="BureauGrot-Bold"/>
          <w:b/>
          <w:bCs/>
          <w:color w:val="702D52"/>
          <w:sz w:val="32"/>
          <w:szCs w:val="24"/>
        </w:rPr>
        <w:t>Ficha 11</w:t>
      </w:r>
    </w:p>
    <w:p w:rsidR="00B01CBE" w:rsidRPr="00CD0548" w:rsidRDefault="00B01CBE" w:rsidP="00B01CBE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85C9F0"/>
          <w:sz w:val="28"/>
          <w:szCs w:val="24"/>
        </w:rPr>
      </w:pPr>
      <w:r w:rsidRPr="00CD0548">
        <w:rPr>
          <w:rFonts w:cs="BureauGrot-Bold"/>
          <w:b/>
          <w:bCs/>
          <w:color w:val="000000"/>
          <w:sz w:val="28"/>
          <w:szCs w:val="24"/>
        </w:rPr>
        <w:t xml:space="preserve">Parte 2 · </w:t>
      </w:r>
      <w:r w:rsidRPr="00CD0548">
        <w:rPr>
          <w:rFonts w:cs="BureauGrot-Bold"/>
          <w:b/>
          <w:bCs/>
          <w:color w:val="85C9F0"/>
          <w:sz w:val="28"/>
          <w:szCs w:val="24"/>
        </w:rPr>
        <w:t>Módulo 2</w:t>
      </w:r>
    </w:p>
    <w:p w:rsidR="00B01CBE" w:rsidRPr="00CD0548" w:rsidRDefault="00B01CBE" w:rsidP="00B01CBE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24"/>
          <w:szCs w:val="24"/>
        </w:rPr>
      </w:pPr>
      <w:r w:rsidRPr="00CD0548">
        <w:rPr>
          <w:rFonts w:cs="BureauGrot-Bold"/>
          <w:b/>
          <w:bCs/>
          <w:color w:val="702D52"/>
          <w:sz w:val="24"/>
          <w:szCs w:val="24"/>
        </w:rPr>
        <w:t>2. O espaço português – a consolidação de um reino cristão ibérico</w:t>
      </w:r>
    </w:p>
    <w:p w:rsidR="00B01CBE" w:rsidRPr="00CD0548" w:rsidRDefault="00B01CBE" w:rsidP="00B01CBE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CD0548">
        <w:rPr>
          <w:rFonts w:cs="BureauGrot-Bold"/>
          <w:b/>
          <w:bCs/>
          <w:color w:val="000000"/>
          <w:sz w:val="24"/>
          <w:szCs w:val="24"/>
        </w:rPr>
        <w:t>2.3. O país urbano e concelhio</w:t>
      </w:r>
    </w:p>
    <w:p w:rsidR="00B01CBE" w:rsidRPr="00CD0548" w:rsidRDefault="00B01CBE" w:rsidP="00B01CBE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CD0548">
        <w:rPr>
          <w:rFonts w:cs="BureauGrot-Bold"/>
          <w:b/>
          <w:bCs/>
          <w:color w:val="000000"/>
          <w:sz w:val="24"/>
          <w:szCs w:val="24"/>
        </w:rPr>
        <w:t>2.4. O poder régio, fator estruturante da coesão interna do reino</w:t>
      </w:r>
    </w:p>
    <w:p w:rsidR="00932426" w:rsidRPr="00CD0548" w:rsidRDefault="000E32E2" w:rsidP="00CD0548">
      <w:pPr>
        <w:spacing w:after="0" w:line="240" w:lineRule="auto"/>
        <w:rPr>
          <w:rFonts w:cs="Arial"/>
          <w:b/>
        </w:rPr>
      </w:pPr>
      <w:r w:rsidRPr="00CD0548">
        <w:rPr>
          <w:rFonts w:cs="Arial"/>
          <w:b/>
        </w:rPr>
        <w:t xml:space="preserve"> </w:t>
      </w:r>
    </w:p>
    <w:p w:rsidR="00A101A1" w:rsidRDefault="00A101A1" w:rsidP="00CD0548">
      <w:pPr>
        <w:spacing w:after="0" w:line="240" w:lineRule="auto"/>
        <w:jc w:val="center"/>
        <w:rPr>
          <w:rFonts w:cs="Arial"/>
          <w:b/>
          <w:color w:val="660033"/>
          <w:sz w:val="24"/>
        </w:rPr>
        <w:sectPr w:rsidR="00A101A1" w:rsidSect="00CE0E42">
          <w:footerReference w:type="default" r:id="rId8"/>
          <w:pgSz w:w="11906" w:h="16838"/>
          <w:pgMar w:top="851" w:right="1134" w:bottom="851" w:left="1134" w:header="708" w:footer="567" w:gutter="0"/>
          <w:cols w:space="708"/>
          <w:docGrid w:linePitch="360"/>
        </w:sectPr>
      </w:pPr>
    </w:p>
    <w:p w:rsidR="002E4DB7" w:rsidRPr="00CD0548" w:rsidRDefault="002E4DB7" w:rsidP="00CD0548">
      <w:pPr>
        <w:spacing w:after="0" w:line="240" w:lineRule="auto"/>
        <w:jc w:val="center"/>
        <w:rPr>
          <w:rFonts w:cs="Arial"/>
          <w:b/>
          <w:color w:val="660033"/>
          <w:sz w:val="24"/>
        </w:rPr>
      </w:pPr>
      <w:r w:rsidRPr="00CD0548">
        <w:rPr>
          <w:rFonts w:cs="Arial"/>
          <w:b/>
          <w:color w:val="660033"/>
          <w:sz w:val="24"/>
        </w:rPr>
        <w:lastRenderedPageBreak/>
        <w:t>Grupo I</w:t>
      </w:r>
    </w:p>
    <w:p w:rsidR="00A101A1" w:rsidRDefault="00A101A1" w:rsidP="00A101A1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05539F" w:rsidRPr="00CD0548" w:rsidRDefault="0005539F" w:rsidP="00A101A1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CD0548">
        <w:rPr>
          <w:rFonts w:cs="Arial"/>
          <w:b/>
        </w:rPr>
        <w:t>A carta de foral é:</w:t>
      </w:r>
    </w:p>
    <w:p w:rsidR="0005539F" w:rsidRPr="00CD0548" w:rsidRDefault="0005539F" w:rsidP="00A101A1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3703AC">
        <w:rPr>
          <w:rFonts w:cs="Arial"/>
        </w:rPr>
        <w:t>c)</w:t>
      </w:r>
      <w:r w:rsidRPr="00CD0548">
        <w:rPr>
          <w:rFonts w:cs="Arial"/>
        </w:rPr>
        <w:t xml:space="preserve"> </w:t>
      </w:r>
      <w:proofErr w:type="gramStart"/>
      <w:r w:rsidRPr="00CD0548">
        <w:rPr>
          <w:rFonts w:cs="Arial"/>
        </w:rPr>
        <w:t>o</w:t>
      </w:r>
      <w:proofErr w:type="gramEnd"/>
      <w:r w:rsidRPr="00CD0548">
        <w:rPr>
          <w:rFonts w:cs="Arial"/>
        </w:rPr>
        <w:t xml:space="preserve"> diploma emanado do rei ou de um senhor  laico ou eclesiástico, no qual se estabelecem as regras e os direitos dos moradores de um concelho.</w:t>
      </w:r>
    </w:p>
    <w:p w:rsidR="00A101A1" w:rsidRDefault="00A101A1" w:rsidP="00A101A1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A101A1" w:rsidRDefault="00A101A1" w:rsidP="00A101A1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05539F" w:rsidRPr="00CD0548" w:rsidRDefault="0005539F" w:rsidP="00A101A1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eastAsia="Calibri" w:cs="Arial"/>
          <w:b/>
          <w:lang w:eastAsia="en-US"/>
        </w:rPr>
      </w:pPr>
      <w:r w:rsidRPr="00CD0548">
        <w:rPr>
          <w:rFonts w:cs="Arial"/>
          <w:b/>
        </w:rPr>
        <w:t>Associar os excertos, apresentados na coluna A, aos deveres e direitos dos vizinhos de Évora, que constam da coluna B.</w:t>
      </w:r>
    </w:p>
    <w:p w:rsidR="0005539F" w:rsidRPr="003703AC" w:rsidRDefault="0005539F" w:rsidP="00CE0E4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eastAsia="Calibri" w:cs="Arial"/>
          <w:lang w:eastAsia="en-US"/>
        </w:rPr>
      </w:pPr>
      <w:r w:rsidRPr="003703AC">
        <w:rPr>
          <w:rFonts w:cs="Arial"/>
        </w:rPr>
        <w:t xml:space="preserve">a) </w:t>
      </w:r>
      <w:r w:rsidRPr="003703AC">
        <w:rPr>
          <w:rFonts w:eastAsia="Calibri" w:cs="Arial"/>
          <w:lang w:eastAsia="en-US"/>
        </w:rPr>
        <w:t>5</w:t>
      </w:r>
      <w:r w:rsidR="00CE0E42" w:rsidRPr="003703AC">
        <w:rPr>
          <w:rFonts w:eastAsia="Calibri" w:cs="Arial"/>
          <w:lang w:eastAsia="en-US"/>
        </w:rPr>
        <w:t xml:space="preserve">; </w:t>
      </w:r>
      <w:r w:rsidRPr="003703AC">
        <w:rPr>
          <w:rFonts w:cs="Arial"/>
        </w:rPr>
        <w:t xml:space="preserve">b) </w:t>
      </w:r>
      <w:r w:rsidRPr="003703AC">
        <w:rPr>
          <w:rFonts w:eastAsia="Calibri" w:cs="Arial"/>
          <w:lang w:eastAsia="en-US"/>
        </w:rPr>
        <w:t>1</w:t>
      </w:r>
      <w:r w:rsidR="00CE0E42" w:rsidRPr="003703AC">
        <w:rPr>
          <w:rFonts w:eastAsia="Calibri" w:cs="Arial"/>
          <w:lang w:eastAsia="en-US"/>
        </w:rPr>
        <w:t xml:space="preserve">; </w:t>
      </w:r>
      <w:r w:rsidRPr="003703AC">
        <w:rPr>
          <w:rFonts w:cs="Arial"/>
        </w:rPr>
        <w:t xml:space="preserve">c) </w:t>
      </w:r>
      <w:r w:rsidRPr="003703AC">
        <w:rPr>
          <w:rFonts w:eastAsia="Calibri" w:cs="Arial"/>
          <w:lang w:eastAsia="en-US"/>
        </w:rPr>
        <w:t>2</w:t>
      </w:r>
      <w:r w:rsidR="00CE0E42" w:rsidRPr="003703AC">
        <w:rPr>
          <w:rFonts w:eastAsia="Calibri" w:cs="Arial"/>
          <w:lang w:eastAsia="en-US"/>
        </w:rPr>
        <w:t xml:space="preserve">; </w:t>
      </w:r>
      <w:r w:rsidRPr="003703AC">
        <w:rPr>
          <w:rFonts w:cs="Arial"/>
        </w:rPr>
        <w:t xml:space="preserve">d) </w:t>
      </w:r>
      <w:r w:rsidRPr="003703AC">
        <w:rPr>
          <w:rFonts w:eastAsia="Calibri" w:cs="Arial"/>
          <w:lang w:eastAsia="en-US"/>
        </w:rPr>
        <w:t>8</w:t>
      </w:r>
      <w:r w:rsidR="00CE0E42" w:rsidRPr="003703AC">
        <w:rPr>
          <w:rFonts w:eastAsia="Calibri" w:cs="Arial"/>
          <w:lang w:eastAsia="en-US"/>
        </w:rPr>
        <w:t xml:space="preserve">; </w:t>
      </w:r>
      <w:r w:rsidRPr="003703AC">
        <w:rPr>
          <w:rFonts w:cs="Arial"/>
        </w:rPr>
        <w:t xml:space="preserve">e) </w:t>
      </w:r>
      <w:r w:rsidRPr="003703AC">
        <w:rPr>
          <w:rFonts w:eastAsia="Calibri" w:cs="Arial"/>
          <w:lang w:eastAsia="en-US"/>
        </w:rPr>
        <w:t>7</w:t>
      </w:r>
    </w:p>
    <w:p w:rsidR="00A101A1" w:rsidRDefault="00A101A1" w:rsidP="00A101A1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cs="Arial"/>
          <w:b/>
        </w:rPr>
      </w:pPr>
    </w:p>
    <w:p w:rsidR="00A101A1" w:rsidRDefault="00A101A1" w:rsidP="00A101A1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2E4DB7" w:rsidRPr="00CD0548" w:rsidRDefault="002E4DB7" w:rsidP="00DD5366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CD0548">
        <w:rPr>
          <w:rFonts w:cs="Arial"/>
          <w:b/>
        </w:rPr>
        <w:t>Explicar, com base no texto, duas vantagens que a Coroa obteve com a concessão da carta de foral a Évora.</w:t>
      </w:r>
    </w:p>
    <w:p w:rsidR="002E4DB7" w:rsidRPr="00CD0548" w:rsidRDefault="002E4DB7" w:rsidP="00DD5366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proofErr w:type="gramStart"/>
      <w:r w:rsidRPr="00CD0548">
        <w:rPr>
          <w:rFonts w:cs="Arial"/>
        </w:rPr>
        <w:t>Povoamento  e</w:t>
      </w:r>
      <w:proofErr w:type="gramEnd"/>
      <w:r w:rsidRPr="00CD0548">
        <w:rPr>
          <w:rFonts w:cs="Arial"/>
        </w:rPr>
        <w:t xml:space="preserve"> administração  da cidade (“…</w:t>
      </w:r>
      <w:r w:rsidR="00CE0E42">
        <w:rPr>
          <w:rFonts w:cs="Arial"/>
        </w:rPr>
        <w:t xml:space="preserve"> </w:t>
      </w:r>
      <w:r w:rsidRPr="00CD0548">
        <w:rPr>
          <w:rFonts w:cs="Arial"/>
        </w:rPr>
        <w:t>quere</w:t>
      </w:r>
      <w:r w:rsidR="00DD5366">
        <w:rPr>
          <w:rFonts w:cs="Arial"/>
        </w:rPr>
        <w:t>-</w:t>
      </w:r>
      <w:r w:rsidRPr="00CD0548">
        <w:rPr>
          <w:rFonts w:cs="Arial"/>
        </w:rPr>
        <w:t>mos restaurar e povoar Évora que conquistamos aos sarracenos”)</w:t>
      </w:r>
      <w:r w:rsidR="00007379" w:rsidRPr="00CD0548">
        <w:rPr>
          <w:rFonts w:cs="Arial"/>
        </w:rPr>
        <w:t>.</w:t>
      </w:r>
    </w:p>
    <w:p w:rsidR="002E4DB7" w:rsidRPr="00CD0548" w:rsidRDefault="00007379" w:rsidP="00DD5366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CD0548">
        <w:rPr>
          <w:rFonts w:cs="Arial"/>
        </w:rPr>
        <w:t>D</w:t>
      </w:r>
      <w:r w:rsidR="002E4DB7" w:rsidRPr="00CD0548">
        <w:rPr>
          <w:rFonts w:cs="Arial"/>
        </w:rPr>
        <w:t>efesa e expansão do território conquistado aos muçulmanos (“…</w:t>
      </w:r>
      <w:r w:rsidRPr="00CD0548">
        <w:rPr>
          <w:rFonts w:cs="Arial"/>
        </w:rPr>
        <w:t xml:space="preserve"> </w:t>
      </w:r>
      <w:r w:rsidR="002E4DB7" w:rsidRPr="00CD0548">
        <w:rPr>
          <w:rFonts w:cs="Arial"/>
        </w:rPr>
        <w:t>duas partes dos cavaleiros vão para o fossado…”).</w:t>
      </w:r>
    </w:p>
    <w:p w:rsidR="002E4DB7" w:rsidRPr="00CD0548" w:rsidRDefault="002E4DB7" w:rsidP="00A101A1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cs="Arial"/>
        </w:rPr>
      </w:pPr>
    </w:p>
    <w:p w:rsidR="00A101A1" w:rsidRDefault="00A101A1" w:rsidP="00A101A1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2E4DB7" w:rsidRPr="00CD0548" w:rsidRDefault="002E4DB7" w:rsidP="00A101A1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CD0548">
        <w:rPr>
          <w:rFonts w:cs="Arial"/>
          <w:b/>
        </w:rPr>
        <w:t>Referir, a partir do texto, dois exemplos de afirmação das elites urbanas.</w:t>
      </w:r>
    </w:p>
    <w:p w:rsidR="002E4DB7" w:rsidRPr="00CD0548" w:rsidRDefault="002E4DB7" w:rsidP="00A101A1">
      <w:pPr>
        <w:pStyle w:val="ListParagraph"/>
        <w:numPr>
          <w:ilvl w:val="0"/>
          <w:numId w:val="30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D0548">
        <w:rPr>
          <w:rFonts w:cs="Arial"/>
        </w:rPr>
        <w:t xml:space="preserve">Os cavaleiros-vilãos (proprietários de terras e gado ou mercadores) tinham direito a tratamento judicial reservado aos poderosos e infanções, não podendo receber açoites e, do ponto de vista fiscal, estavam isentos </w:t>
      </w:r>
      <w:r w:rsidR="00007379" w:rsidRPr="00CD0548">
        <w:rPr>
          <w:rFonts w:cs="Arial"/>
        </w:rPr>
        <w:t>do pagamento de alguns impostos.</w:t>
      </w:r>
    </w:p>
    <w:p w:rsidR="002E4DB7" w:rsidRPr="00CD0548" w:rsidRDefault="00007379" w:rsidP="00A101A1">
      <w:pPr>
        <w:pStyle w:val="ListParagraph"/>
        <w:numPr>
          <w:ilvl w:val="0"/>
          <w:numId w:val="30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D0548">
        <w:rPr>
          <w:rFonts w:cs="Arial"/>
        </w:rPr>
        <w:t>O</w:t>
      </w:r>
      <w:r w:rsidR="002E4DB7" w:rsidRPr="00CD0548">
        <w:rPr>
          <w:rFonts w:cs="Arial"/>
        </w:rPr>
        <w:t>s cavaleiros-vilãos constituíam a elite política, monopolizando as magistraturas municipais e a própria composição da Assembleia dos Vizinhos.</w:t>
      </w:r>
    </w:p>
    <w:p w:rsidR="00A101A1" w:rsidRDefault="00A101A1" w:rsidP="00CD0548">
      <w:pPr>
        <w:spacing w:after="0" w:line="240" w:lineRule="auto"/>
        <w:jc w:val="center"/>
        <w:rPr>
          <w:rFonts w:cs="Arial"/>
          <w:b/>
          <w:color w:val="660033"/>
          <w:sz w:val="24"/>
        </w:rPr>
      </w:pPr>
    </w:p>
    <w:p w:rsidR="002E4DB7" w:rsidRPr="00CD0548" w:rsidRDefault="002E4DB7" w:rsidP="00CD0548">
      <w:pPr>
        <w:spacing w:after="0" w:line="240" w:lineRule="auto"/>
        <w:jc w:val="center"/>
        <w:rPr>
          <w:rFonts w:cs="Arial"/>
          <w:b/>
          <w:color w:val="660033"/>
          <w:sz w:val="24"/>
        </w:rPr>
      </w:pPr>
      <w:r w:rsidRPr="00CD0548">
        <w:rPr>
          <w:rFonts w:cs="Arial"/>
          <w:b/>
          <w:color w:val="660033"/>
          <w:sz w:val="24"/>
        </w:rPr>
        <w:t>Grupo II</w:t>
      </w:r>
    </w:p>
    <w:p w:rsidR="00A101A1" w:rsidRDefault="00A101A1" w:rsidP="00A101A1">
      <w:pPr>
        <w:spacing w:after="0" w:line="240" w:lineRule="auto"/>
        <w:ind w:right="-340"/>
        <w:rPr>
          <w:rFonts w:cs="BureauGrotCond-Bold"/>
          <w:b/>
          <w:bCs/>
          <w:color w:val="004F9F"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2E4DB7" w:rsidRPr="00CD0548" w:rsidRDefault="002E4DB7" w:rsidP="00DD5366">
      <w:pPr>
        <w:spacing w:after="0" w:line="240" w:lineRule="auto"/>
        <w:ind w:right="-340"/>
        <w:jc w:val="both"/>
        <w:rPr>
          <w:rFonts w:cs="Arial"/>
          <w:b/>
        </w:rPr>
      </w:pPr>
      <w:r w:rsidRPr="00CD0548">
        <w:rPr>
          <w:rFonts w:cs="Arial"/>
          <w:b/>
        </w:rPr>
        <w:t xml:space="preserve">Identificar, na planta de Évora (Doc. 1), quatro marcas de urbanidade, partindo do texto </w:t>
      </w:r>
      <w:proofErr w:type="gramStart"/>
      <w:r w:rsidRPr="00CD0548">
        <w:rPr>
          <w:rFonts w:cs="Arial"/>
          <w:b/>
        </w:rPr>
        <w:t xml:space="preserve">do </w:t>
      </w:r>
      <w:r w:rsidR="00AA6E6D" w:rsidRPr="00CD0548">
        <w:rPr>
          <w:rFonts w:cs="Arial"/>
          <w:b/>
        </w:rPr>
        <w:t xml:space="preserve"> </w:t>
      </w:r>
      <w:r w:rsidRPr="00CD0548">
        <w:rPr>
          <w:rFonts w:cs="Arial"/>
          <w:b/>
        </w:rPr>
        <w:t>Doc.</w:t>
      </w:r>
      <w:proofErr w:type="gramEnd"/>
      <w:r w:rsidRPr="00CD0548">
        <w:rPr>
          <w:rFonts w:cs="Arial"/>
          <w:b/>
        </w:rPr>
        <w:t xml:space="preserve"> 3.  </w:t>
      </w:r>
    </w:p>
    <w:p w:rsidR="002E4DB7" w:rsidRPr="00CD0548" w:rsidRDefault="002E4DB7" w:rsidP="00DD5366">
      <w:pPr>
        <w:pStyle w:val="ListParagraph"/>
        <w:spacing w:after="0" w:line="240" w:lineRule="auto"/>
        <w:ind w:left="0" w:right="-340"/>
        <w:contextualSpacing w:val="0"/>
        <w:jc w:val="both"/>
        <w:rPr>
          <w:rFonts w:cs="Arial"/>
          <w:b/>
        </w:rPr>
      </w:pPr>
      <w:r w:rsidRPr="00CD0548">
        <w:rPr>
          <w:rFonts w:cs="Arial"/>
        </w:rPr>
        <w:t>(</w:t>
      </w:r>
      <w:r w:rsidR="00007379" w:rsidRPr="00CD0548">
        <w:rPr>
          <w:rFonts w:cs="Arial"/>
        </w:rPr>
        <w:t>E</w:t>
      </w:r>
      <w:r w:rsidRPr="00CD0548">
        <w:rPr>
          <w:rFonts w:cs="Arial"/>
        </w:rPr>
        <w:t>scolher quatro)</w:t>
      </w:r>
    </w:p>
    <w:p w:rsidR="002E4DB7" w:rsidRPr="00CD0548" w:rsidRDefault="002E4DB7" w:rsidP="00A101A1">
      <w:pPr>
        <w:pStyle w:val="ListParagraph"/>
        <w:numPr>
          <w:ilvl w:val="0"/>
          <w:numId w:val="3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D0548">
        <w:rPr>
          <w:rFonts w:cs="Arial"/>
        </w:rPr>
        <w:t>Cintura de muralhas reveladora do carácter urbano de Évora e do seu papel na defesa do território;</w:t>
      </w:r>
    </w:p>
    <w:p w:rsidR="002E4DB7" w:rsidRPr="00CD0548" w:rsidRDefault="002E4DB7" w:rsidP="00A101A1">
      <w:pPr>
        <w:pStyle w:val="ListParagraph"/>
        <w:numPr>
          <w:ilvl w:val="0"/>
          <w:numId w:val="3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D0548">
        <w:rPr>
          <w:rFonts w:cs="Arial"/>
        </w:rPr>
        <w:t xml:space="preserve">Cidade-sede de bispado, visível pela presença da Sé </w:t>
      </w:r>
      <w:r w:rsidR="00A14230" w:rsidRPr="00CD0548">
        <w:rPr>
          <w:rFonts w:cs="Arial"/>
        </w:rPr>
        <w:t>C</w:t>
      </w:r>
      <w:r w:rsidRPr="00CD0548">
        <w:rPr>
          <w:rFonts w:cs="Arial"/>
        </w:rPr>
        <w:t xml:space="preserve">atedral de Évora, “com os seus cónegos, os cabidos de </w:t>
      </w:r>
      <w:r w:rsidR="00CE0E42">
        <w:rPr>
          <w:rFonts w:cs="Arial"/>
        </w:rPr>
        <w:t>cónegos seculares, as escolas…”;</w:t>
      </w:r>
    </w:p>
    <w:p w:rsidR="002E4DB7" w:rsidRPr="00CD0548" w:rsidRDefault="00007379" w:rsidP="00A101A1">
      <w:pPr>
        <w:pStyle w:val="ListParagraph"/>
        <w:numPr>
          <w:ilvl w:val="0"/>
          <w:numId w:val="3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D0548">
        <w:rPr>
          <w:rFonts w:cs="Arial"/>
        </w:rPr>
        <w:lastRenderedPageBreak/>
        <w:t>C</w:t>
      </w:r>
      <w:r w:rsidR="002E4DB7" w:rsidRPr="00CD0548">
        <w:rPr>
          <w:rFonts w:cs="Arial"/>
        </w:rPr>
        <w:t>oncentração das minorias étnico-religiosas em bairros próprios, a judi</w:t>
      </w:r>
      <w:r w:rsidR="00CE0E42">
        <w:rPr>
          <w:rFonts w:cs="Arial"/>
        </w:rPr>
        <w:t>aria e mouraria dentro de muros;</w:t>
      </w:r>
    </w:p>
    <w:p w:rsidR="002E4DB7" w:rsidRPr="00CD0548" w:rsidRDefault="00007379" w:rsidP="00A101A1">
      <w:pPr>
        <w:pStyle w:val="ListParagraph"/>
        <w:numPr>
          <w:ilvl w:val="0"/>
          <w:numId w:val="32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D0548">
        <w:rPr>
          <w:rFonts w:cs="Arial"/>
        </w:rPr>
        <w:t>T</w:t>
      </w:r>
      <w:r w:rsidR="002E4DB7" w:rsidRPr="00CD0548">
        <w:rPr>
          <w:rFonts w:cs="Arial"/>
        </w:rPr>
        <w:t>oponímia reveladora de divisão e especialização socioprofissional da mão</w:t>
      </w:r>
      <w:r w:rsidRPr="00CD0548">
        <w:rPr>
          <w:rFonts w:cs="Arial"/>
        </w:rPr>
        <w:t xml:space="preserve"> </w:t>
      </w:r>
      <w:r w:rsidR="002E4DB7" w:rsidRPr="00CD0548">
        <w:rPr>
          <w:rFonts w:cs="Arial"/>
        </w:rPr>
        <w:t>de</w:t>
      </w:r>
      <w:r w:rsidRPr="00CD0548">
        <w:rPr>
          <w:rFonts w:cs="Arial"/>
        </w:rPr>
        <w:t xml:space="preserve"> </w:t>
      </w:r>
      <w:r w:rsidR="00DD5366">
        <w:rPr>
          <w:rFonts w:cs="Arial"/>
        </w:rPr>
        <w:t xml:space="preserve">obra </w:t>
      </w:r>
      <w:proofErr w:type="gramStart"/>
      <w:r w:rsidR="00DD5366">
        <w:rPr>
          <w:rFonts w:cs="Arial"/>
        </w:rPr>
        <w:t xml:space="preserve">eborense           </w:t>
      </w:r>
      <w:r w:rsidR="002E4DB7" w:rsidRPr="00CD0548">
        <w:rPr>
          <w:rFonts w:cs="Arial"/>
        </w:rPr>
        <w:t>(ex.</w:t>
      </w:r>
      <w:proofErr w:type="gramEnd"/>
      <w:r w:rsidRPr="00CD0548">
        <w:rPr>
          <w:rFonts w:cs="Arial"/>
        </w:rPr>
        <w:t>:</w:t>
      </w:r>
      <w:r w:rsidR="002E4DB7" w:rsidRPr="00CD0548">
        <w:rPr>
          <w:rFonts w:cs="Arial"/>
        </w:rPr>
        <w:t xml:space="preserve"> “</w:t>
      </w:r>
      <w:r w:rsidRPr="00CD0548">
        <w:rPr>
          <w:rFonts w:cs="Arial"/>
        </w:rPr>
        <w:t>R</w:t>
      </w:r>
      <w:r w:rsidR="002E4DB7" w:rsidRPr="00CD0548">
        <w:rPr>
          <w:rFonts w:cs="Arial"/>
        </w:rPr>
        <w:t xml:space="preserve">ua dos </w:t>
      </w:r>
      <w:r w:rsidR="00CE0E42">
        <w:rPr>
          <w:rFonts w:cs="Arial"/>
        </w:rPr>
        <w:t>Mercadores” e “Rua da Selaria”);</w:t>
      </w:r>
    </w:p>
    <w:p w:rsidR="002E4DB7" w:rsidRPr="00CD0548" w:rsidRDefault="00007379" w:rsidP="00A101A1">
      <w:pPr>
        <w:pStyle w:val="ListParagraph"/>
        <w:numPr>
          <w:ilvl w:val="0"/>
          <w:numId w:val="32"/>
        </w:numPr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CD0548">
        <w:rPr>
          <w:rFonts w:cs="Arial"/>
        </w:rPr>
        <w:t>P</w:t>
      </w:r>
      <w:r w:rsidR="002E4DB7" w:rsidRPr="00CD0548">
        <w:rPr>
          <w:rFonts w:cs="Arial"/>
        </w:rPr>
        <w:t>resença das ordens mendicantes, atestada nos conventos de S. Domingos e S. Francisco.</w:t>
      </w:r>
    </w:p>
    <w:p w:rsidR="00A101A1" w:rsidRDefault="00A101A1" w:rsidP="00A101A1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</w:p>
    <w:p w:rsidR="00A101A1" w:rsidRDefault="00A101A1" w:rsidP="00A101A1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AA6E6D" w:rsidRPr="00CD0548" w:rsidRDefault="002E4DB7" w:rsidP="00A101A1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  <w:r w:rsidRPr="00CD0548">
        <w:rPr>
          <w:rFonts w:cs="Arial"/>
          <w:b/>
        </w:rPr>
        <w:t>Explicitar, a partir do Doc. 2, dois aspetos reveladores da autonomia administrativa concelhia.</w:t>
      </w:r>
      <w:r w:rsidR="00AA6E6D" w:rsidRPr="00CD0548">
        <w:rPr>
          <w:rFonts w:cs="Arial"/>
          <w:b/>
        </w:rPr>
        <w:t xml:space="preserve"> </w:t>
      </w:r>
    </w:p>
    <w:p w:rsidR="002E4DB7" w:rsidRPr="00CD0548" w:rsidRDefault="002E4DB7" w:rsidP="00A101A1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CD0548">
        <w:rPr>
          <w:rFonts w:cs="Arial"/>
        </w:rPr>
        <w:t>(</w:t>
      </w:r>
      <w:r w:rsidR="00AA6E6D" w:rsidRPr="00CD0548">
        <w:rPr>
          <w:rFonts w:cs="Arial"/>
        </w:rPr>
        <w:t>E</w:t>
      </w:r>
      <w:r w:rsidRPr="00CD0548">
        <w:rPr>
          <w:rFonts w:cs="Arial"/>
        </w:rPr>
        <w:t>scolher dois)</w:t>
      </w:r>
    </w:p>
    <w:p w:rsidR="002E4DB7" w:rsidRPr="00CD0548" w:rsidRDefault="002E4DB7" w:rsidP="00A101A1">
      <w:pPr>
        <w:pStyle w:val="ListParagraph"/>
        <w:numPr>
          <w:ilvl w:val="0"/>
          <w:numId w:val="41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D0548">
        <w:rPr>
          <w:rFonts w:cs="Arial"/>
        </w:rPr>
        <w:t>Concessão de autonomia administrativa aos con</w:t>
      </w:r>
      <w:r w:rsidR="00BE122C" w:rsidRPr="00CD0548">
        <w:rPr>
          <w:rFonts w:cs="Arial"/>
        </w:rPr>
        <w:t>celhos pelo rei ou por um senho</w:t>
      </w:r>
      <w:r w:rsidR="00D60AED" w:rsidRPr="00CD0548">
        <w:rPr>
          <w:rFonts w:cs="Arial"/>
        </w:rPr>
        <w:t>r</w:t>
      </w:r>
      <w:r w:rsidRPr="00CD0548">
        <w:rPr>
          <w:rFonts w:cs="Arial"/>
        </w:rPr>
        <w:t xml:space="preserve"> laico ou eclesiástico</w:t>
      </w:r>
      <w:r w:rsidR="00007379" w:rsidRPr="00CD0548">
        <w:rPr>
          <w:rFonts w:cs="Arial"/>
        </w:rPr>
        <w:t>, através de uma carta de foral.</w:t>
      </w:r>
    </w:p>
    <w:p w:rsidR="00BE122C" w:rsidRPr="00CD0548" w:rsidRDefault="00007379" w:rsidP="00A101A1">
      <w:pPr>
        <w:pStyle w:val="ListParagraph"/>
        <w:numPr>
          <w:ilvl w:val="0"/>
          <w:numId w:val="41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D0548">
        <w:rPr>
          <w:rFonts w:cs="Arial"/>
        </w:rPr>
        <w:t>A</w:t>
      </w:r>
      <w:r w:rsidR="002E4DB7" w:rsidRPr="00CD0548">
        <w:rPr>
          <w:rFonts w:cs="Arial"/>
        </w:rPr>
        <w:t>utonomia administrativa patente nas deliberações tomadas na Assembleia dos Vizinhos, validadas pelo selo concelhio (</w:t>
      </w:r>
      <w:r w:rsidR="002E4DB7" w:rsidRPr="00CD0548">
        <w:rPr>
          <w:rFonts w:cs="Arial"/>
          <w:b/>
        </w:rPr>
        <w:t>Doc. 2</w:t>
      </w:r>
      <w:r w:rsidRPr="00CD0548">
        <w:rPr>
          <w:rFonts w:cs="Arial"/>
        </w:rPr>
        <w:t>).</w:t>
      </w:r>
    </w:p>
    <w:p w:rsidR="00BE122C" w:rsidRPr="00CD0548" w:rsidRDefault="00007379" w:rsidP="00A101A1">
      <w:pPr>
        <w:pStyle w:val="ListParagraph"/>
        <w:numPr>
          <w:ilvl w:val="0"/>
          <w:numId w:val="41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D0548">
        <w:rPr>
          <w:rFonts w:cs="Arial"/>
        </w:rPr>
        <w:t>A</w:t>
      </w:r>
      <w:r w:rsidR="002E4DB7" w:rsidRPr="00CD0548">
        <w:rPr>
          <w:rFonts w:cs="Arial"/>
        </w:rPr>
        <w:t>utonomia administrativa patente na escolha d</w:t>
      </w:r>
      <w:r w:rsidR="00BE122C" w:rsidRPr="00CD0548">
        <w:rPr>
          <w:rFonts w:cs="Arial"/>
        </w:rPr>
        <w:t xml:space="preserve">os magistrados concelhios pela </w:t>
      </w:r>
      <w:r w:rsidR="002E4DB7" w:rsidRPr="00CD0548">
        <w:rPr>
          <w:rFonts w:cs="Arial"/>
        </w:rPr>
        <w:t>Assembleia dos Vizinhos, pertencentes à elite social do concelho e promovidos a cavaleiros</w:t>
      </w:r>
      <w:r w:rsidR="00A14230" w:rsidRPr="00CD0548">
        <w:rPr>
          <w:rFonts w:cs="Arial"/>
        </w:rPr>
        <w:t>-</w:t>
      </w:r>
      <w:r w:rsidR="002E4DB7" w:rsidRPr="00CD0548">
        <w:rPr>
          <w:rFonts w:cs="Arial"/>
        </w:rPr>
        <w:t>vilãos, como o que figura no selo do concelho (</w:t>
      </w:r>
      <w:r w:rsidR="002E4DB7" w:rsidRPr="00CD0548">
        <w:rPr>
          <w:rFonts w:cs="Arial"/>
          <w:b/>
        </w:rPr>
        <w:t>Doc. 2</w:t>
      </w:r>
      <w:r w:rsidRPr="00CD0548">
        <w:rPr>
          <w:rFonts w:cs="Arial"/>
        </w:rPr>
        <w:t>).</w:t>
      </w:r>
      <w:r w:rsidR="002E4DB7" w:rsidRPr="00CD0548">
        <w:rPr>
          <w:rFonts w:cs="Arial"/>
        </w:rPr>
        <w:tab/>
      </w:r>
    </w:p>
    <w:p w:rsidR="002E4DB7" w:rsidRPr="00CD0548" w:rsidRDefault="00007379" w:rsidP="00A101A1">
      <w:pPr>
        <w:pStyle w:val="ListParagraph"/>
        <w:numPr>
          <w:ilvl w:val="0"/>
          <w:numId w:val="41"/>
        </w:numPr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CD0548">
        <w:rPr>
          <w:rFonts w:cs="Arial"/>
        </w:rPr>
        <w:t>E</w:t>
      </w:r>
      <w:r w:rsidR="002E4DB7" w:rsidRPr="00CD0548">
        <w:rPr>
          <w:rFonts w:cs="Arial"/>
        </w:rPr>
        <w:t>xistência do pelourinho, símbolo da autonomia municipal, nomeadamente do poder concelhio de administração da justiça.</w:t>
      </w:r>
    </w:p>
    <w:p w:rsidR="00A101A1" w:rsidRDefault="00A101A1" w:rsidP="00A101A1">
      <w:pPr>
        <w:pStyle w:val="ListParagraph"/>
        <w:tabs>
          <w:tab w:val="center" w:pos="4749"/>
        </w:tabs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A101A1" w:rsidRDefault="00A101A1" w:rsidP="00A101A1">
      <w:pPr>
        <w:pStyle w:val="ListParagraph"/>
        <w:tabs>
          <w:tab w:val="center" w:pos="4749"/>
        </w:tabs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05539F" w:rsidRPr="00CD0548" w:rsidRDefault="0005539F" w:rsidP="00DD5366">
      <w:pPr>
        <w:pStyle w:val="ListParagraph"/>
        <w:tabs>
          <w:tab w:val="center" w:pos="4749"/>
        </w:tabs>
        <w:autoSpaceDE w:val="0"/>
        <w:autoSpaceDN w:val="0"/>
        <w:adjustRightInd w:val="0"/>
        <w:spacing w:after="0" w:line="240" w:lineRule="auto"/>
        <w:ind w:left="0" w:right="-283"/>
        <w:contextualSpacing w:val="0"/>
        <w:jc w:val="both"/>
        <w:rPr>
          <w:rFonts w:cs="Arial"/>
          <w:b/>
        </w:rPr>
      </w:pPr>
      <w:r w:rsidRPr="00CD0548">
        <w:rPr>
          <w:rFonts w:cs="Arial"/>
          <w:b/>
        </w:rPr>
        <w:t xml:space="preserve">Referir o nome do magistrado local responsável pela guarda do selo e da bandeira do concelho (Doc. 2). </w:t>
      </w:r>
    </w:p>
    <w:p w:rsidR="0005539F" w:rsidRPr="00CD0548" w:rsidRDefault="006709DE" w:rsidP="00DD5366">
      <w:pPr>
        <w:pStyle w:val="ListParagraph"/>
        <w:tabs>
          <w:tab w:val="center" w:pos="4749"/>
        </w:tabs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CD0548">
        <w:rPr>
          <w:rFonts w:cs="Arial"/>
        </w:rPr>
        <w:t>C</w:t>
      </w:r>
      <w:r w:rsidR="0005539F" w:rsidRPr="00CD0548">
        <w:rPr>
          <w:rFonts w:cs="Arial"/>
        </w:rPr>
        <w:t>hanceler.</w:t>
      </w:r>
    </w:p>
    <w:p w:rsidR="00A101A1" w:rsidRDefault="00A101A1" w:rsidP="00DD5366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A101A1" w:rsidRDefault="00A101A1" w:rsidP="00DD5366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05539F" w:rsidRPr="00CD0548" w:rsidRDefault="0005539F" w:rsidP="00DD5366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CD0548">
        <w:rPr>
          <w:rFonts w:cs="Arial"/>
          <w:b/>
        </w:rPr>
        <w:t>De acordo com o Doc. 1, localizam-se no arrabalde de Évora:</w:t>
      </w:r>
    </w:p>
    <w:p w:rsidR="00A101A1" w:rsidRDefault="0005539F" w:rsidP="00DD5366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3703AC">
        <w:rPr>
          <w:rFonts w:cs="Arial"/>
        </w:rPr>
        <w:t>b)</w:t>
      </w:r>
      <w:r w:rsidRPr="00CD0548">
        <w:rPr>
          <w:rFonts w:cs="Arial"/>
        </w:rPr>
        <w:t xml:space="preserve"> </w:t>
      </w:r>
      <w:proofErr w:type="gramStart"/>
      <w:r w:rsidRPr="00CD0548">
        <w:rPr>
          <w:rFonts w:cs="Arial"/>
        </w:rPr>
        <w:t>os</w:t>
      </w:r>
      <w:proofErr w:type="gramEnd"/>
      <w:r w:rsidRPr="00CD0548">
        <w:rPr>
          <w:rFonts w:cs="Arial"/>
        </w:rPr>
        <w:t xml:space="preserve"> bairros das minorias étnico-religiosas e as ordens mendicantes.</w:t>
      </w:r>
    </w:p>
    <w:p w:rsidR="003703AC" w:rsidRDefault="003703AC" w:rsidP="00DD5366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</w:rPr>
      </w:pPr>
    </w:p>
    <w:p w:rsidR="00A101A1" w:rsidRDefault="00A101A1" w:rsidP="00DD5366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5</w:t>
      </w:r>
    </w:p>
    <w:p w:rsidR="0005539F" w:rsidRPr="00A101A1" w:rsidRDefault="0005539F" w:rsidP="00DD5366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CD0548">
        <w:rPr>
          <w:rFonts w:cs="Arial"/>
          <w:b/>
        </w:rPr>
        <w:t>As portas e postigos da muralha (Doc. 1) destinavam-se:</w:t>
      </w:r>
    </w:p>
    <w:p w:rsidR="0005539F" w:rsidRPr="00CD0548" w:rsidRDefault="0005539F" w:rsidP="00DD5366">
      <w:pPr>
        <w:pStyle w:val="ListParagraph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</w:rPr>
      </w:pPr>
      <w:r w:rsidRPr="00E12110">
        <w:rPr>
          <w:rFonts w:cs="Arial"/>
        </w:rPr>
        <w:t>d)</w:t>
      </w:r>
      <w:r w:rsidRPr="00CD0548">
        <w:rPr>
          <w:rFonts w:cs="Arial"/>
        </w:rPr>
        <w:t xml:space="preserve"> </w:t>
      </w:r>
      <w:proofErr w:type="gramStart"/>
      <w:r w:rsidRPr="00CD0548">
        <w:rPr>
          <w:rFonts w:cs="Arial"/>
        </w:rPr>
        <w:t>à</w:t>
      </w:r>
      <w:proofErr w:type="gramEnd"/>
      <w:r w:rsidRPr="00CD0548">
        <w:rPr>
          <w:rFonts w:cs="Arial"/>
        </w:rPr>
        <w:t xml:space="preserve"> segurança e à cobrança de impostos pela circulação de mercadorias.</w:t>
      </w:r>
    </w:p>
    <w:p w:rsidR="0005539F" w:rsidRDefault="0005539F" w:rsidP="00A101A1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cs="Arial"/>
          <w:b/>
        </w:rPr>
      </w:pPr>
    </w:p>
    <w:p w:rsidR="00A101A1" w:rsidRPr="00CD0548" w:rsidRDefault="003703AC" w:rsidP="00A101A1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cs="Arial"/>
          <w:b/>
        </w:rPr>
      </w:pPr>
      <w:r w:rsidRPr="005A164D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BEDCBD5" wp14:editId="7CB19539">
                <wp:simplePos x="0" y="0"/>
                <wp:positionH relativeFrom="page">
                  <wp:align>left</wp:align>
                </wp:positionH>
                <wp:positionV relativeFrom="paragraph">
                  <wp:posOffset>-537210</wp:posOffset>
                </wp:positionV>
                <wp:extent cx="7562850" cy="28575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1CD7C7" id="Rectangle 2" o:spid="_x0000_s1026" style="position:absolute;margin-left:0;margin-top:-42.3pt;width:595.5pt;height:22.5pt;z-index:251661824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" fillcolor="#7030a0" stroked="f" strokeweight="2pt">
                <w10:wrap anchorx="page"/>
              </v:rect>
            </w:pict>
          </mc:Fallback>
        </mc:AlternateContent>
      </w:r>
      <w:r w:rsidR="00A101A1">
        <w:rPr>
          <w:rFonts w:cs="BureauGrotCond-Bold"/>
          <w:b/>
          <w:bCs/>
          <w:color w:val="004F9F"/>
        </w:rPr>
        <w:t>Questão 6</w:t>
      </w:r>
    </w:p>
    <w:p w:rsidR="002E4DB7" w:rsidRPr="00CD0548" w:rsidRDefault="002E4DB7" w:rsidP="00A101A1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  <w:r w:rsidRPr="00CD0548">
        <w:rPr>
          <w:rFonts w:cs="Arial"/>
          <w:b/>
        </w:rPr>
        <w:t>Desenvolver o tema:</w:t>
      </w:r>
    </w:p>
    <w:p w:rsidR="002E4DB7" w:rsidRPr="00CD0548" w:rsidRDefault="002E4DB7" w:rsidP="00A101A1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iCs/>
        </w:rPr>
      </w:pPr>
      <w:r w:rsidRPr="00CD0548">
        <w:rPr>
          <w:rFonts w:cs="Arial"/>
          <w:i/>
          <w:iCs/>
        </w:rPr>
        <w:t>O dinamismo urbano no Portugal medieval</w:t>
      </w:r>
    </w:p>
    <w:p w:rsidR="002E4DB7" w:rsidRPr="00CD0548" w:rsidRDefault="002E4DB7" w:rsidP="00A101A1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i/>
        </w:rPr>
      </w:pPr>
      <w:r w:rsidRPr="00CD0548">
        <w:rPr>
          <w:rFonts w:cs="Arial"/>
          <w:iCs/>
        </w:rPr>
        <w:t>Introdução: Durante a Idade Média, Portugal, maioritariamente rural e senhorial, coexistiu com um país urbano, de cidades e vilas concelhias, que impulsionou o desenvolvimento do reino.</w:t>
      </w:r>
    </w:p>
    <w:p w:rsidR="00007379" w:rsidRPr="00CD0548" w:rsidRDefault="002E4DB7" w:rsidP="00A101A1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CD0548">
        <w:rPr>
          <w:rFonts w:cs="Arial"/>
          <w:b/>
        </w:rPr>
        <w:t xml:space="preserve">Fatores da multiplicação de cidades e vilas concelhias </w:t>
      </w:r>
    </w:p>
    <w:p w:rsidR="002E4DB7" w:rsidRPr="00CD0548" w:rsidRDefault="002E4DB7" w:rsidP="00A101A1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CD0548">
        <w:rPr>
          <w:rFonts w:cs="Arial"/>
        </w:rPr>
        <w:t>(</w:t>
      </w:r>
      <w:r w:rsidR="00007379" w:rsidRPr="00CD0548">
        <w:rPr>
          <w:rFonts w:cs="Arial"/>
        </w:rPr>
        <w:t>E</w:t>
      </w:r>
      <w:r w:rsidRPr="00CD0548">
        <w:rPr>
          <w:rFonts w:cs="Arial"/>
        </w:rPr>
        <w:t>scolher três)</w:t>
      </w:r>
    </w:p>
    <w:p w:rsidR="002E4DB7" w:rsidRPr="00CD0548" w:rsidRDefault="002E4DB7" w:rsidP="00A101A1">
      <w:pPr>
        <w:pStyle w:val="ListParagraph"/>
        <w:numPr>
          <w:ilvl w:val="0"/>
          <w:numId w:val="34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D0548">
        <w:rPr>
          <w:rFonts w:cs="Arial"/>
        </w:rPr>
        <w:t xml:space="preserve">Processo da Reconquista, com integração de territórios muçulmanos marcadamente </w:t>
      </w:r>
      <w:proofErr w:type="gramStart"/>
      <w:r w:rsidRPr="00CD0548">
        <w:rPr>
          <w:rFonts w:cs="Arial"/>
        </w:rPr>
        <w:t xml:space="preserve">urbanos </w:t>
      </w:r>
      <w:r w:rsidR="00AA6E6D" w:rsidRPr="00CD0548">
        <w:rPr>
          <w:rFonts w:cs="Arial"/>
        </w:rPr>
        <w:t xml:space="preserve">   </w:t>
      </w:r>
      <w:r w:rsidRPr="00CD0548">
        <w:rPr>
          <w:rFonts w:cs="Arial"/>
        </w:rPr>
        <w:t>(</w:t>
      </w:r>
      <w:r w:rsidRPr="00CD0548">
        <w:rPr>
          <w:rFonts w:cs="Arial"/>
          <w:b/>
        </w:rPr>
        <w:t>Doc.</w:t>
      </w:r>
      <w:proofErr w:type="gramEnd"/>
      <w:r w:rsidRPr="00CD0548">
        <w:rPr>
          <w:rFonts w:cs="Arial"/>
          <w:b/>
        </w:rPr>
        <w:t xml:space="preserve"> 1</w:t>
      </w:r>
      <w:r w:rsidRPr="00CD0548">
        <w:rPr>
          <w:rFonts w:cs="Arial"/>
        </w:rPr>
        <w:t>);</w:t>
      </w:r>
    </w:p>
    <w:p w:rsidR="002E4DB7" w:rsidRPr="00CD0548" w:rsidRDefault="00007379" w:rsidP="00A101A1">
      <w:pPr>
        <w:pStyle w:val="ListParagraph"/>
        <w:numPr>
          <w:ilvl w:val="0"/>
          <w:numId w:val="34"/>
        </w:numPr>
        <w:spacing w:after="0" w:line="240" w:lineRule="auto"/>
        <w:ind w:left="142" w:right="-227" w:hanging="142"/>
        <w:jc w:val="both"/>
        <w:rPr>
          <w:rFonts w:cs="Arial"/>
          <w:b/>
        </w:rPr>
      </w:pPr>
      <w:r w:rsidRPr="00CD0548">
        <w:rPr>
          <w:rFonts w:cs="Arial"/>
        </w:rPr>
        <w:t>I</w:t>
      </w:r>
      <w:r w:rsidR="00BE122C" w:rsidRPr="00CD0548">
        <w:rPr>
          <w:rFonts w:cs="Arial"/>
        </w:rPr>
        <w:t>tinerância</w:t>
      </w:r>
      <w:r w:rsidR="002E4DB7" w:rsidRPr="00CD0548">
        <w:rPr>
          <w:rFonts w:cs="Arial"/>
        </w:rPr>
        <w:t xml:space="preserve"> da corte régia, com seu séquito de funcionários e letrados, serviços burocráticos e forças militares, dinamizou as urbes para onde se transferia</w:t>
      </w:r>
      <w:r w:rsidRPr="00CD0548">
        <w:rPr>
          <w:rFonts w:cs="Arial"/>
        </w:rPr>
        <w:t>.</w:t>
      </w:r>
    </w:p>
    <w:p w:rsidR="002E4DB7" w:rsidRPr="00CD0548" w:rsidRDefault="00007379" w:rsidP="00A101A1">
      <w:pPr>
        <w:pStyle w:val="ListParagraph"/>
        <w:numPr>
          <w:ilvl w:val="0"/>
          <w:numId w:val="34"/>
        </w:numPr>
        <w:spacing w:after="0" w:line="240" w:lineRule="auto"/>
        <w:ind w:left="142" w:right="-227" w:hanging="142"/>
        <w:jc w:val="both"/>
        <w:rPr>
          <w:rFonts w:cs="Arial"/>
          <w:b/>
        </w:rPr>
      </w:pPr>
      <w:r w:rsidRPr="00CD0548">
        <w:rPr>
          <w:rFonts w:cs="Arial"/>
        </w:rPr>
        <w:t>A</w:t>
      </w:r>
      <w:r w:rsidR="002E4DB7" w:rsidRPr="00CD0548">
        <w:rPr>
          <w:rFonts w:cs="Arial"/>
        </w:rPr>
        <w:t>colhimento permanente de um bispo, tornando-se sede de bispado, com Sé (</w:t>
      </w:r>
      <w:r w:rsidR="002E4DB7" w:rsidRPr="00CD0548">
        <w:rPr>
          <w:rFonts w:cs="Arial"/>
          <w:b/>
        </w:rPr>
        <w:t>Doc. 1</w:t>
      </w:r>
      <w:r w:rsidR="002E4DB7" w:rsidRPr="00CD0548">
        <w:rPr>
          <w:rFonts w:cs="Arial"/>
        </w:rPr>
        <w:t>) e paço episcopal</w:t>
      </w:r>
      <w:r w:rsidRPr="00CD0548">
        <w:rPr>
          <w:rFonts w:cs="Arial"/>
        </w:rPr>
        <w:t>.</w:t>
      </w:r>
    </w:p>
    <w:p w:rsidR="002E4DB7" w:rsidRPr="00CD0548" w:rsidRDefault="00007379" w:rsidP="00A101A1">
      <w:pPr>
        <w:pStyle w:val="ListParagraph"/>
        <w:numPr>
          <w:ilvl w:val="0"/>
          <w:numId w:val="34"/>
        </w:numPr>
        <w:spacing w:after="0" w:line="240" w:lineRule="auto"/>
        <w:ind w:left="142" w:right="-227" w:hanging="142"/>
        <w:jc w:val="both"/>
        <w:rPr>
          <w:rFonts w:cs="Arial"/>
          <w:b/>
        </w:rPr>
      </w:pPr>
      <w:r w:rsidRPr="00CD0548">
        <w:rPr>
          <w:rFonts w:cs="Arial"/>
        </w:rPr>
        <w:t>I</w:t>
      </w:r>
      <w:r w:rsidR="002E4DB7" w:rsidRPr="00CD0548">
        <w:rPr>
          <w:rFonts w:cs="Arial"/>
        </w:rPr>
        <w:t>nstituição de concelhos perfeitos ou urbanos (localizados maioritariamente na Beira Interior, Estremadura e Alentejo), através de uma carta de foral, concedendo aos seus habitantes significativos pr</w:t>
      </w:r>
      <w:r w:rsidR="00E7653E" w:rsidRPr="00CD0548">
        <w:rPr>
          <w:rFonts w:cs="Arial"/>
        </w:rPr>
        <w:t>ivilégios judiciais e fiscais e</w:t>
      </w:r>
      <w:r w:rsidR="002E4DB7" w:rsidRPr="00CD0548">
        <w:rPr>
          <w:rFonts w:cs="Arial"/>
        </w:rPr>
        <w:t xml:space="preserve"> autonomia administrativa (</w:t>
      </w:r>
      <w:r w:rsidR="002E4DB7" w:rsidRPr="00CD0548">
        <w:rPr>
          <w:rFonts w:cs="Arial"/>
          <w:b/>
        </w:rPr>
        <w:t>Doc. 2</w:t>
      </w:r>
      <w:r w:rsidRPr="00CD0548">
        <w:rPr>
          <w:rFonts w:cs="Arial"/>
        </w:rPr>
        <w:t>).</w:t>
      </w:r>
    </w:p>
    <w:p w:rsidR="002E4DB7" w:rsidRPr="00CD0548" w:rsidRDefault="00007379" w:rsidP="00A101A1">
      <w:pPr>
        <w:pStyle w:val="ListParagraph"/>
        <w:numPr>
          <w:ilvl w:val="0"/>
          <w:numId w:val="34"/>
        </w:numPr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CD0548">
        <w:rPr>
          <w:rFonts w:cs="Arial"/>
        </w:rPr>
        <w:t>P</w:t>
      </w:r>
      <w:r w:rsidR="002E4DB7" w:rsidRPr="00CD0548">
        <w:rPr>
          <w:rFonts w:cs="Arial"/>
        </w:rPr>
        <w:t>resença de mercadores europeus nas cidades e vilas portuguesas (sobretudo a partir do séc. XII)</w:t>
      </w:r>
      <w:r w:rsidR="00BD518B" w:rsidRPr="00CD0548">
        <w:rPr>
          <w:rFonts w:cs="Arial"/>
        </w:rPr>
        <w:t>,</w:t>
      </w:r>
      <w:r w:rsidR="002E4DB7" w:rsidRPr="00CD0548">
        <w:rPr>
          <w:rFonts w:cs="Arial"/>
        </w:rPr>
        <w:t xml:space="preserve"> num eixo norte-sul paralelo à costa atlântica.</w:t>
      </w:r>
    </w:p>
    <w:p w:rsidR="00E12110" w:rsidRDefault="00E12110" w:rsidP="00A101A1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007379" w:rsidRPr="00CD0548" w:rsidRDefault="002E4DB7" w:rsidP="00A101A1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CD0548">
        <w:rPr>
          <w:rFonts w:cs="Arial"/>
          <w:b/>
        </w:rPr>
        <w:t>Organização do espaço citadino</w:t>
      </w:r>
    </w:p>
    <w:p w:rsidR="002E4DB7" w:rsidRPr="00CD0548" w:rsidRDefault="002E4DB7" w:rsidP="00A101A1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  <w:r w:rsidRPr="00CD0548">
        <w:rPr>
          <w:rFonts w:cs="Arial"/>
        </w:rPr>
        <w:t>(</w:t>
      </w:r>
      <w:r w:rsidR="00007379" w:rsidRPr="00CD0548">
        <w:rPr>
          <w:rFonts w:cs="Arial"/>
        </w:rPr>
        <w:t>E</w:t>
      </w:r>
      <w:r w:rsidRPr="00CD0548">
        <w:rPr>
          <w:rFonts w:cs="Arial"/>
        </w:rPr>
        <w:t>scolher três)</w:t>
      </w:r>
    </w:p>
    <w:p w:rsidR="002E4DB7" w:rsidRPr="00CD0548" w:rsidRDefault="002E4DB7" w:rsidP="00A101A1">
      <w:pPr>
        <w:pStyle w:val="ListParagraph"/>
        <w:numPr>
          <w:ilvl w:val="0"/>
          <w:numId w:val="35"/>
        </w:numPr>
        <w:spacing w:after="0" w:line="240" w:lineRule="auto"/>
        <w:ind w:left="142" w:right="-227" w:hanging="142"/>
        <w:jc w:val="both"/>
        <w:rPr>
          <w:rFonts w:cs="Arial"/>
          <w:b/>
        </w:rPr>
      </w:pPr>
      <w:r w:rsidRPr="00CD0548">
        <w:rPr>
          <w:rFonts w:cs="Arial"/>
        </w:rPr>
        <w:t>Cidade medieval envolta numa cintura de muralhas (</w:t>
      </w:r>
      <w:r w:rsidRPr="00CD0548">
        <w:rPr>
          <w:rFonts w:cs="Arial"/>
          <w:b/>
        </w:rPr>
        <w:t>Doc. 1</w:t>
      </w:r>
      <w:r w:rsidRPr="00CD0548">
        <w:rPr>
          <w:rFonts w:cs="Arial"/>
        </w:rPr>
        <w:t>), se</w:t>
      </w:r>
      <w:r w:rsidR="00AE502F" w:rsidRPr="00CD0548">
        <w:rPr>
          <w:rFonts w:cs="Arial"/>
        </w:rPr>
        <w:t xml:space="preserve">parando o espaço urbano </w:t>
      </w:r>
      <w:r w:rsidRPr="00CD0548">
        <w:rPr>
          <w:rFonts w:cs="Arial"/>
        </w:rPr>
        <w:t>dos bairros extramuros (arrabaldes) (</w:t>
      </w:r>
      <w:r w:rsidRPr="00CD0548">
        <w:rPr>
          <w:rFonts w:cs="Arial"/>
          <w:b/>
        </w:rPr>
        <w:t>Doc. 1</w:t>
      </w:r>
      <w:r w:rsidR="00007379" w:rsidRPr="00CD0548">
        <w:rPr>
          <w:rFonts w:cs="Arial"/>
        </w:rPr>
        <w:t>).</w:t>
      </w:r>
      <w:r w:rsidRPr="00CD0548">
        <w:rPr>
          <w:rFonts w:cs="Arial"/>
        </w:rPr>
        <w:t xml:space="preserve"> </w:t>
      </w:r>
    </w:p>
    <w:p w:rsidR="002E4DB7" w:rsidRPr="00CD0548" w:rsidRDefault="00007379" w:rsidP="00A101A1">
      <w:pPr>
        <w:pStyle w:val="ListParagraph"/>
        <w:numPr>
          <w:ilvl w:val="0"/>
          <w:numId w:val="3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D0548">
        <w:rPr>
          <w:rFonts w:cs="Arial"/>
        </w:rPr>
        <w:t>C</w:t>
      </w:r>
      <w:r w:rsidR="002E4DB7" w:rsidRPr="00CD0548">
        <w:rPr>
          <w:rFonts w:cs="Arial"/>
        </w:rPr>
        <w:t xml:space="preserve">idade ou vila concelhia constituída por um </w:t>
      </w:r>
      <w:r w:rsidR="002E4DB7" w:rsidRPr="00CD0548">
        <w:rPr>
          <w:rFonts w:cs="Arial"/>
          <w:u w:val="single"/>
        </w:rPr>
        <w:t>núcleo central</w:t>
      </w:r>
      <w:r w:rsidR="002E4DB7" w:rsidRPr="00CD0548">
        <w:rPr>
          <w:rFonts w:cs="Arial"/>
        </w:rPr>
        <w:t>, onde residiam as elites locais e dirigentes e onde se localizava o castelo, a praça principal, o maior mercado, a sé ou igreja, o paço episcopal, os paços do concelho e as moradias dos mercadores abastados (</w:t>
      </w:r>
      <w:r w:rsidR="002E4DB7" w:rsidRPr="00CD0548">
        <w:rPr>
          <w:rFonts w:cs="Arial"/>
          <w:b/>
        </w:rPr>
        <w:t>Docs. 1 e 3</w:t>
      </w:r>
      <w:r w:rsidR="002E4DB7" w:rsidRPr="00CD0548">
        <w:rPr>
          <w:rFonts w:cs="Arial"/>
        </w:rPr>
        <w:t xml:space="preserve">); pelo </w:t>
      </w:r>
      <w:r w:rsidR="002E4DB7" w:rsidRPr="00CD0548">
        <w:rPr>
          <w:rFonts w:cs="Arial"/>
          <w:u w:val="single"/>
        </w:rPr>
        <w:t>restante espaço urbano</w:t>
      </w:r>
      <w:r w:rsidR="002E4DB7" w:rsidRPr="00CD0548">
        <w:rPr>
          <w:rFonts w:cs="Arial"/>
        </w:rPr>
        <w:t xml:space="preserve"> habitado por artífices ou mesteirais, com as suas oficinas, e por mercadores (</w:t>
      </w:r>
      <w:r w:rsidR="002E4DB7" w:rsidRPr="00CD0548">
        <w:rPr>
          <w:rFonts w:cs="Arial"/>
          <w:b/>
        </w:rPr>
        <w:t>Docs. 1 e 3</w:t>
      </w:r>
      <w:r w:rsidRPr="00CD0548">
        <w:rPr>
          <w:rFonts w:cs="Arial"/>
        </w:rPr>
        <w:t>).</w:t>
      </w:r>
      <w:r w:rsidR="002E4DB7" w:rsidRPr="00CD0548">
        <w:rPr>
          <w:rFonts w:cs="Arial"/>
        </w:rPr>
        <w:t xml:space="preserve"> </w:t>
      </w:r>
    </w:p>
    <w:p w:rsidR="002E4DB7" w:rsidRPr="00CD0548" w:rsidRDefault="002E4DB7" w:rsidP="00A101A1">
      <w:pPr>
        <w:pStyle w:val="ListParagraph"/>
        <w:numPr>
          <w:ilvl w:val="0"/>
          <w:numId w:val="3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D0548">
        <w:rPr>
          <w:rFonts w:cs="Arial"/>
        </w:rPr>
        <w:t xml:space="preserve"> </w:t>
      </w:r>
      <w:r w:rsidR="00007379" w:rsidRPr="00CD0548">
        <w:rPr>
          <w:rFonts w:cs="Arial"/>
        </w:rPr>
        <w:t>E</w:t>
      </w:r>
      <w:r w:rsidRPr="00CD0548">
        <w:rPr>
          <w:rFonts w:cs="Arial"/>
        </w:rPr>
        <w:t xml:space="preserve">xistência de </w:t>
      </w:r>
      <w:r w:rsidRPr="00CD0548">
        <w:rPr>
          <w:rFonts w:cs="Arial"/>
          <w:u w:val="single"/>
        </w:rPr>
        <w:t>arrabaldes</w:t>
      </w:r>
      <w:r w:rsidRPr="00CD0548">
        <w:rPr>
          <w:rFonts w:cs="Arial"/>
        </w:rPr>
        <w:t>, nos quais se localizavam os ofícios poluentes, as ordens mendicantes aquando da sua instalação, as minorias étnico-religiosas por vezes, os pedintes e os marginais</w:t>
      </w:r>
      <w:r w:rsidR="00007379" w:rsidRPr="00CD0548">
        <w:rPr>
          <w:rFonts w:cs="Arial"/>
        </w:rPr>
        <w:t>.</w:t>
      </w:r>
    </w:p>
    <w:p w:rsidR="002E4DB7" w:rsidRPr="00CD0548" w:rsidRDefault="002E4DB7" w:rsidP="00A101A1">
      <w:pPr>
        <w:pStyle w:val="ListParagraph"/>
        <w:numPr>
          <w:ilvl w:val="0"/>
          <w:numId w:val="3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D0548">
        <w:rPr>
          <w:rFonts w:cs="Arial"/>
        </w:rPr>
        <w:t xml:space="preserve"> </w:t>
      </w:r>
      <w:r w:rsidR="00007379" w:rsidRPr="00CD0548">
        <w:rPr>
          <w:rFonts w:cs="Arial"/>
        </w:rPr>
        <w:t>E</w:t>
      </w:r>
      <w:r w:rsidRPr="00CD0548">
        <w:rPr>
          <w:rFonts w:cs="Arial"/>
        </w:rPr>
        <w:t xml:space="preserve">xistência do </w:t>
      </w:r>
      <w:r w:rsidRPr="00CD0548">
        <w:rPr>
          <w:rFonts w:cs="Arial"/>
          <w:u w:val="single"/>
        </w:rPr>
        <w:t>termo</w:t>
      </w:r>
      <w:r w:rsidRPr="00CD0548">
        <w:rPr>
          <w:rFonts w:cs="Arial"/>
        </w:rPr>
        <w:t>, vasto território sobre o qual a cidade ou vila concelhia exercia jurisdição, impunha obrigações fiscais ou militares e retirava as subsistências.</w:t>
      </w:r>
    </w:p>
    <w:p w:rsidR="002E4DB7" w:rsidRPr="00CD0548" w:rsidRDefault="00007379" w:rsidP="00A101A1">
      <w:pPr>
        <w:pStyle w:val="ListParagraph"/>
        <w:numPr>
          <w:ilvl w:val="0"/>
          <w:numId w:val="3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D0548">
        <w:rPr>
          <w:rFonts w:cs="Arial"/>
        </w:rPr>
        <w:t>I</w:t>
      </w:r>
      <w:r w:rsidR="002E4DB7" w:rsidRPr="00CD0548">
        <w:rPr>
          <w:rFonts w:cs="Arial"/>
        </w:rPr>
        <w:t>nstalação das minorias étnico-religiosas – judeus e mouros – em bairros próprios extramuros, podendo ser tolerados dentro de muros (</w:t>
      </w:r>
      <w:r w:rsidR="002E4DB7" w:rsidRPr="00CD0548">
        <w:rPr>
          <w:rFonts w:cs="Arial"/>
          <w:b/>
        </w:rPr>
        <w:t>Docs. 1 e 3</w:t>
      </w:r>
      <w:r w:rsidR="002E4DB7" w:rsidRPr="00CD0548">
        <w:rPr>
          <w:rFonts w:cs="Arial"/>
        </w:rPr>
        <w:t>)</w:t>
      </w:r>
      <w:r w:rsidRPr="00CD0548">
        <w:rPr>
          <w:rFonts w:cs="Arial"/>
        </w:rPr>
        <w:t>.</w:t>
      </w:r>
    </w:p>
    <w:p w:rsidR="002E4DB7" w:rsidRPr="00CD0548" w:rsidRDefault="00007379" w:rsidP="00A101A1">
      <w:pPr>
        <w:pStyle w:val="ListParagraph"/>
        <w:numPr>
          <w:ilvl w:val="0"/>
          <w:numId w:val="35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D0548">
        <w:rPr>
          <w:rFonts w:cs="Arial"/>
        </w:rPr>
        <w:lastRenderedPageBreak/>
        <w:t>T</w:t>
      </w:r>
      <w:r w:rsidR="002E4DB7" w:rsidRPr="00CD0548">
        <w:rPr>
          <w:rFonts w:cs="Arial"/>
        </w:rPr>
        <w:t>opografia urbana frequentemente desordenada e labiríntica, com ruas estreitas, sombrias e fétidas (</w:t>
      </w:r>
      <w:r w:rsidR="002E4DB7" w:rsidRPr="00CD0548">
        <w:rPr>
          <w:rFonts w:cs="Arial"/>
          <w:b/>
        </w:rPr>
        <w:t>Doc. 1</w:t>
      </w:r>
      <w:r w:rsidR="002E4DB7" w:rsidRPr="00CD0548">
        <w:rPr>
          <w:rFonts w:cs="Arial"/>
        </w:rPr>
        <w:t>)</w:t>
      </w:r>
      <w:r w:rsidRPr="00CD0548">
        <w:rPr>
          <w:rFonts w:cs="Arial"/>
        </w:rPr>
        <w:t>.</w:t>
      </w:r>
    </w:p>
    <w:p w:rsidR="002E4DB7" w:rsidRPr="00CD0548" w:rsidRDefault="00007379" w:rsidP="00A101A1">
      <w:pPr>
        <w:pStyle w:val="ListParagraph"/>
        <w:numPr>
          <w:ilvl w:val="0"/>
          <w:numId w:val="35"/>
        </w:numPr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CD0548">
        <w:rPr>
          <w:rFonts w:cs="Arial"/>
        </w:rPr>
        <w:t>D</w:t>
      </w:r>
      <w:r w:rsidR="002E4DB7" w:rsidRPr="00CD0548">
        <w:rPr>
          <w:rFonts w:cs="Arial"/>
        </w:rPr>
        <w:t>istribuição dos ofícios ou mesteres por ruas próprias.</w:t>
      </w:r>
    </w:p>
    <w:p w:rsidR="00E12110" w:rsidRDefault="00E12110" w:rsidP="00A101A1">
      <w:pPr>
        <w:spacing w:after="0" w:line="240" w:lineRule="auto"/>
        <w:ind w:right="-227"/>
        <w:jc w:val="both"/>
        <w:rPr>
          <w:rFonts w:cs="Arial"/>
          <w:b/>
        </w:rPr>
      </w:pPr>
    </w:p>
    <w:p w:rsidR="00A14230" w:rsidRPr="00CD0548" w:rsidRDefault="002E4DB7" w:rsidP="00A101A1">
      <w:pPr>
        <w:spacing w:after="0" w:line="240" w:lineRule="auto"/>
        <w:ind w:right="-227"/>
        <w:jc w:val="both"/>
        <w:rPr>
          <w:rFonts w:cs="Arial"/>
          <w:b/>
        </w:rPr>
      </w:pPr>
      <w:r w:rsidRPr="00CD0548">
        <w:rPr>
          <w:rFonts w:cs="Arial"/>
          <w:b/>
        </w:rPr>
        <w:t xml:space="preserve">Exercício comunitário dos poderes concelhios </w:t>
      </w:r>
    </w:p>
    <w:p w:rsidR="002E4DB7" w:rsidRPr="00CD0548" w:rsidRDefault="002E4DB7" w:rsidP="00A101A1">
      <w:pPr>
        <w:spacing w:after="0" w:line="240" w:lineRule="auto"/>
        <w:ind w:right="-227"/>
        <w:jc w:val="both"/>
        <w:rPr>
          <w:rFonts w:cs="Arial"/>
        </w:rPr>
      </w:pPr>
      <w:r w:rsidRPr="00CD0548">
        <w:rPr>
          <w:rFonts w:cs="Arial"/>
        </w:rPr>
        <w:t>(</w:t>
      </w:r>
      <w:r w:rsidR="00A14230" w:rsidRPr="00CD0548">
        <w:rPr>
          <w:rFonts w:cs="Arial"/>
        </w:rPr>
        <w:t>E</w:t>
      </w:r>
      <w:r w:rsidRPr="00CD0548">
        <w:rPr>
          <w:rFonts w:cs="Arial"/>
        </w:rPr>
        <w:t>scolher três)</w:t>
      </w:r>
    </w:p>
    <w:p w:rsidR="002E4DB7" w:rsidRPr="00CD0548" w:rsidRDefault="002E4DB7" w:rsidP="00A101A1">
      <w:pPr>
        <w:pStyle w:val="ListParagraph"/>
        <w:numPr>
          <w:ilvl w:val="0"/>
          <w:numId w:val="36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D0548">
        <w:rPr>
          <w:rFonts w:cs="Arial"/>
        </w:rPr>
        <w:t>Cartas de foral dotam os concelhos de maior ou menor autonomia, atribuindo aos seus habitantes (vizinhos) a administração dos assuntos comunitários</w:t>
      </w:r>
      <w:r w:rsidR="00A14230" w:rsidRPr="00CD0548">
        <w:rPr>
          <w:rFonts w:cs="Arial"/>
        </w:rPr>
        <w:t>.</w:t>
      </w:r>
    </w:p>
    <w:p w:rsidR="002E4DB7" w:rsidRPr="00CD0548" w:rsidRDefault="00A14230" w:rsidP="00A101A1">
      <w:pPr>
        <w:pStyle w:val="ListParagraph"/>
        <w:numPr>
          <w:ilvl w:val="0"/>
          <w:numId w:val="36"/>
        </w:numPr>
        <w:spacing w:after="0" w:line="240" w:lineRule="auto"/>
        <w:ind w:left="142" w:right="-227" w:hanging="142"/>
        <w:jc w:val="both"/>
        <w:rPr>
          <w:rFonts w:cs="Arial"/>
          <w:b/>
        </w:rPr>
      </w:pPr>
      <w:r w:rsidRPr="00CD0548">
        <w:rPr>
          <w:rFonts w:cs="Arial"/>
        </w:rPr>
        <w:t>A</w:t>
      </w:r>
      <w:r w:rsidR="002E4DB7" w:rsidRPr="00CD0548">
        <w:rPr>
          <w:rFonts w:cs="Arial"/>
        </w:rPr>
        <w:t>dministração concelhia exercida na Assembleia de Vizinhos – órgão deliberativo do concelho – que, através das posturas municipais, regulamentava a vida económica e social do concelho</w:t>
      </w:r>
      <w:r w:rsidRPr="00CD0548">
        <w:rPr>
          <w:rFonts w:cs="Arial"/>
        </w:rPr>
        <w:t>.</w:t>
      </w:r>
    </w:p>
    <w:p w:rsidR="002E4DB7" w:rsidRPr="00CD0548" w:rsidRDefault="00A14230" w:rsidP="00A101A1">
      <w:pPr>
        <w:pStyle w:val="ListParagraph"/>
        <w:numPr>
          <w:ilvl w:val="0"/>
          <w:numId w:val="36"/>
        </w:numPr>
        <w:tabs>
          <w:tab w:val="left" w:pos="3660"/>
        </w:tabs>
        <w:spacing w:after="0" w:line="240" w:lineRule="auto"/>
        <w:ind w:left="142" w:right="-227" w:hanging="142"/>
        <w:jc w:val="both"/>
        <w:rPr>
          <w:rFonts w:cs="Arial"/>
        </w:rPr>
      </w:pPr>
      <w:proofErr w:type="gramStart"/>
      <w:r w:rsidRPr="00CD0548">
        <w:rPr>
          <w:rFonts w:cs="Arial"/>
        </w:rPr>
        <w:t>A</w:t>
      </w:r>
      <w:r w:rsidR="002E4DB7" w:rsidRPr="00CD0548">
        <w:rPr>
          <w:rFonts w:cs="Arial"/>
        </w:rPr>
        <w:t>dministração concelhia a cargo dos magistrados locais</w:t>
      </w:r>
      <w:proofErr w:type="gramEnd"/>
      <w:r w:rsidR="002E4DB7" w:rsidRPr="00CD0548">
        <w:rPr>
          <w:rFonts w:cs="Arial"/>
        </w:rPr>
        <w:t xml:space="preserve"> (</w:t>
      </w:r>
      <w:r w:rsidR="002E4DB7" w:rsidRPr="00CD0548">
        <w:rPr>
          <w:rFonts w:cs="Arial"/>
          <w:i/>
        </w:rPr>
        <w:t>alcaides</w:t>
      </w:r>
      <w:r w:rsidR="002E4DB7" w:rsidRPr="00CD0548">
        <w:rPr>
          <w:rFonts w:cs="Arial"/>
        </w:rPr>
        <w:t xml:space="preserve"> ou </w:t>
      </w:r>
      <w:r w:rsidR="002E4DB7" w:rsidRPr="00CD0548">
        <w:rPr>
          <w:rFonts w:cs="Arial"/>
          <w:i/>
        </w:rPr>
        <w:t>juízes</w:t>
      </w:r>
      <w:r w:rsidR="002E4DB7" w:rsidRPr="00CD0548">
        <w:rPr>
          <w:rFonts w:cs="Arial"/>
        </w:rPr>
        <w:t xml:space="preserve">, </w:t>
      </w:r>
      <w:r w:rsidR="002E4DB7" w:rsidRPr="00CD0548">
        <w:rPr>
          <w:rFonts w:cs="Arial"/>
          <w:i/>
        </w:rPr>
        <w:t>almotacés</w:t>
      </w:r>
      <w:r w:rsidR="002E4DB7" w:rsidRPr="00CD0548">
        <w:rPr>
          <w:rFonts w:cs="Arial"/>
        </w:rPr>
        <w:t xml:space="preserve">, </w:t>
      </w:r>
      <w:r w:rsidR="002E4DB7" w:rsidRPr="00CD0548">
        <w:rPr>
          <w:rFonts w:cs="Arial"/>
          <w:i/>
        </w:rPr>
        <w:t>procurador</w:t>
      </w:r>
      <w:r w:rsidR="002E4DB7" w:rsidRPr="00CD0548">
        <w:rPr>
          <w:rFonts w:cs="Arial"/>
        </w:rPr>
        <w:t xml:space="preserve"> e </w:t>
      </w:r>
      <w:r w:rsidR="002E4DB7" w:rsidRPr="00CD0548">
        <w:rPr>
          <w:rFonts w:cs="Arial"/>
          <w:i/>
        </w:rPr>
        <w:t>chanceler</w:t>
      </w:r>
      <w:r w:rsidR="002E4DB7" w:rsidRPr="00CD0548">
        <w:rPr>
          <w:rFonts w:cs="Arial"/>
        </w:rPr>
        <w:t xml:space="preserve"> </w:t>
      </w:r>
      <w:r w:rsidR="00007379" w:rsidRPr="00CD0548">
        <w:rPr>
          <w:rFonts w:cs="Arial"/>
        </w:rPr>
        <w:t>−</w:t>
      </w:r>
      <w:r w:rsidR="002E4DB7" w:rsidRPr="00CD0548">
        <w:rPr>
          <w:rFonts w:cs="Arial"/>
        </w:rPr>
        <w:t xml:space="preserve"> guardador do selo e bandeira do concelho </w:t>
      </w:r>
      <w:r w:rsidR="00007379" w:rsidRPr="00CD0548">
        <w:rPr>
          <w:rFonts w:cs="Arial"/>
        </w:rPr>
        <w:t>−</w:t>
      </w:r>
      <w:r w:rsidR="002E4DB7" w:rsidRPr="00CD0548">
        <w:rPr>
          <w:rFonts w:cs="Arial"/>
        </w:rPr>
        <w:t xml:space="preserve"> </w:t>
      </w:r>
      <w:r w:rsidR="002E4DB7" w:rsidRPr="00CD0548">
        <w:rPr>
          <w:rFonts w:cs="Arial"/>
          <w:b/>
        </w:rPr>
        <w:t>Doc. 2</w:t>
      </w:r>
      <w:r w:rsidR="002E4DB7" w:rsidRPr="00CD0548">
        <w:rPr>
          <w:rFonts w:cs="Arial"/>
        </w:rPr>
        <w:t xml:space="preserve">), escolhidos pela </w:t>
      </w:r>
      <w:r w:rsidR="002E4DB7" w:rsidRPr="00CD0548">
        <w:rPr>
          <w:rFonts w:cs="Arial"/>
          <w:i/>
        </w:rPr>
        <w:t>Assembleia do Vizinhos</w:t>
      </w:r>
      <w:r w:rsidRPr="00CD0548">
        <w:rPr>
          <w:rFonts w:cs="Arial"/>
        </w:rPr>
        <w:t>.</w:t>
      </w:r>
    </w:p>
    <w:p w:rsidR="002E4DB7" w:rsidRPr="00CD0548" w:rsidRDefault="00A14230" w:rsidP="00A101A1">
      <w:pPr>
        <w:pStyle w:val="ListParagraph"/>
        <w:numPr>
          <w:ilvl w:val="0"/>
          <w:numId w:val="36"/>
        </w:numPr>
        <w:tabs>
          <w:tab w:val="left" w:pos="3660"/>
        </w:tabs>
        <w:spacing w:after="0" w:line="240" w:lineRule="auto"/>
        <w:ind w:left="142" w:right="-227" w:hanging="142"/>
        <w:jc w:val="both"/>
        <w:rPr>
          <w:rFonts w:cs="Arial"/>
        </w:rPr>
      </w:pPr>
      <w:r w:rsidRPr="00CD0548">
        <w:rPr>
          <w:rFonts w:cs="Arial"/>
        </w:rPr>
        <w:t>A</w:t>
      </w:r>
      <w:r w:rsidR="002E4DB7" w:rsidRPr="00CD0548">
        <w:rPr>
          <w:rFonts w:cs="Arial"/>
        </w:rPr>
        <w:t>dmi</w:t>
      </w:r>
      <w:r w:rsidR="00FB680B" w:rsidRPr="00CD0548">
        <w:rPr>
          <w:rFonts w:cs="Arial"/>
        </w:rPr>
        <w:t>nistração concelhia patente no exercício da justiça, simbolizado pelo pelourinho</w:t>
      </w:r>
      <w:r w:rsidR="00CE0E42">
        <w:rPr>
          <w:rFonts w:cs="Arial"/>
        </w:rPr>
        <w:t>.</w:t>
      </w:r>
    </w:p>
    <w:p w:rsidR="002E4DB7" w:rsidRDefault="002E4DB7" w:rsidP="00A101A1">
      <w:pPr>
        <w:spacing w:after="0" w:line="240" w:lineRule="auto"/>
        <w:ind w:right="-227"/>
        <w:jc w:val="both"/>
        <w:rPr>
          <w:rFonts w:cs="Arial"/>
        </w:rPr>
      </w:pPr>
    </w:p>
    <w:p w:rsidR="00E12110" w:rsidRPr="00CD0548" w:rsidRDefault="00E12110" w:rsidP="00A101A1">
      <w:pPr>
        <w:spacing w:after="0" w:line="240" w:lineRule="auto"/>
        <w:ind w:right="-227"/>
        <w:jc w:val="both"/>
        <w:rPr>
          <w:rFonts w:cs="Arial"/>
        </w:rPr>
      </w:pPr>
    </w:p>
    <w:p w:rsidR="002E4DB7" w:rsidRPr="00CD0548" w:rsidRDefault="002E4DB7" w:rsidP="00A101A1">
      <w:pPr>
        <w:spacing w:after="0" w:line="240" w:lineRule="auto"/>
        <w:ind w:right="-227"/>
        <w:jc w:val="center"/>
        <w:rPr>
          <w:rFonts w:cs="Arial"/>
          <w:b/>
          <w:color w:val="660033"/>
          <w:sz w:val="24"/>
        </w:rPr>
      </w:pPr>
      <w:r w:rsidRPr="00CD0548">
        <w:rPr>
          <w:rFonts w:cs="Arial"/>
          <w:b/>
          <w:color w:val="660033"/>
          <w:sz w:val="24"/>
        </w:rPr>
        <w:t>Grupo III</w:t>
      </w:r>
    </w:p>
    <w:p w:rsidR="00A101A1" w:rsidRDefault="00A101A1" w:rsidP="00A101A1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405271" w:rsidRPr="00CD0548" w:rsidRDefault="00405271" w:rsidP="00A101A1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CD0548">
        <w:rPr>
          <w:rFonts w:cs="Arial"/>
          <w:b/>
        </w:rPr>
        <w:t>A expressão “pela graça de Deus” (linha 1, Doc. 1) atesta:</w:t>
      </w:r>
    </w:p>
    <w:p w:rsidR="00405271" w:rsidRPr="00CD0548" w:rsidRDefault="00405271" w:rsidP="00A101A1">
      <w:pPr>
        <w:pStyle w:val="ListParagraph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210" w:right="-227" w:hanging="210"/>
        <w:contextualSpacing w:val="0"/>
        <w:jc w:val="both"/>
        <w:rPr>
          <w:rFonts w:cs="Arial"/>
        </w:rPr>
      </w:pPr>
      <w:proofErr w:type="gramStart"/>
      <w:r w:rsidRPr="00CD0548">
        <w:rPr>
          <w:rFonts w:cs="Arial"/>
        </w:rPr>
        <w:t>o</w:t>
      </w:r>
      <w:proofErr w:type="gramEnd"/>
      <w:r w:rsidRPr="00CD0548">
        <w:rPr>
          <w:rFonts w:cs="Arial"/>
        </w:rPr>
        <w:t xml:space="preserve"> direito divino da monarquia portuguesa.</w:t>
      </w:r>
    </w:p>
    <w:p w:rsidR="00A101A1" w:rsidRDefault="00A101A1" w:rsidP="00A101A1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A101A1" w:rsidRDefault="00A101A1" w:rsidP="00A101A1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405271" w:rsidRPr="00CD0548" w:rsidRDefault="00405271" w:rsidP="00A101A1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CD0548">
        <w:rPr>
          <w:rFonts w:cs="Arial"/>
          <w:b/>
        </w:rPr>
        <w:t>As inquirições régias:</w:t>
      </w:r>
    </w:p>
    <w:p w:rsidR="00405271" w:rsidRPr="00CD0548" w:rsidRDefault="00405271" w:rsidP="00A101A1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CD0548">
        <w:rPr>
          <w:rFonts w:cs="Arial"/>
          <w:b/>
        </w:rPr>
        <w:t>c)</w:t>
      </w:r>
      <w:r w:rsidRPr="00CD0548">
        <w:rPr>
          <w:rFonts w:cs="Arial"/>
        </w:rPr>
        <w:t xml:space="preserve"> </w:t>
      </w:r>
      <w:proofErr w:type="gramStart"/>
      <w:r w:rsidRPr="00CD0548">
        <w:rPr>
          <w:rFonts w:cs="Arial"/>
        </w:rPr>
        <w:t>averiguaram</w:t>
      </w:r>
      <w:proofErr w:type="gramEnd"/>
      <w:r w:rsidRPr="00CD0548">
        <w:rPr>
          <w:rFonts w:cs="Arial"/>
        </w:rPr>
        <w:t xml:space="preserve"> a situação das propriedades e dos direitos e rendas  do rei nos seus reguengos.</w:t>
      </w:r>
    </w:p>
    <w:p w:rsidR="00405271" w:rsidRPr="00CD0548" w:rsidRDefault="00405271" w:rsidP="00A101A1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</w:p>
    <w:p w:rsidR="00A101A1" w:rsidRDefault="00A101A1" w:rsidP="00A101A1">
      <w:pPr>
        <w:pStyle w:val="ListParagraph"/>
        <w:spacing w:after="0" w:line="240" w:lineRule="auto"/>
        <w:ind w:left="0" w:right="-227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2E4DB7" w:rsidRPr="00CD0548" w:rsidRDefault="002E4DB7" w:rsidP="00A101A1">
      <w:pPr>
        <w:pStyle w:val="ListParagraph"/>
        <w:spacing w:after="0" w:line="240" w:lineRule="auto"/>
        <w:ind w:left="0" w:right="-227"/>
        <w:rPr>
          <w:rFonts w:cs="Arial"/>
          <w:b/>
        </w:rPr>
      </w:pPr>
      <w:r w:rsidRPr="00CD0548">
        <w:rPr>
          <w:rFonts w:cs="Arial"/>
          <w:b/>
        </w:rPr>
        <w:t>Referir, a partir do Doc. 1, dois motivos que determinaram as inquirições régias.</w:t>
      </w:r>
    </w:p>
    <w:p w:rsidR="00AE502F" w:rsidRPr="00CD0548" w:rsidRDefault="002E4DB7" w:rsidP="00A101A1">
      <w:pPr>
        <w:pStyle w:val="ListParagraph"/>
        <w:spacing w:after="0" w:line="240" w:lineRule="auto"/>
        <w:ind w:left="0" w:right="-227"/>
        <w:contextualSpacing w:val="0"/>
        <w:rPr>
          <w:rFonts w:cs="Arial"/>
        </w:rPr>
      </w:pPr>
      <w:r w:rsidRPr="00CD0548">
        <w:rPr>
          <w:rFonts w:cs="Arial"/>
        </w:rPr>
        <w:t>(</w:t>
      </w:r>
      <w:r w:rsidR="00007379" w:rsidRPr="00CD0548">
        <w:rPr>
          <w:rFonts w:cs="Arial"/>
        </w:rPr>
        <w:t>E</w:t>
      </w:r>
      <w:r w:rsidRPr="00CD0548">
        <w:rPr>
          <w:rFonts w:cs="Arial"/>
        </w:rPr>
        <w:t>scolher dois)</w:t>
      </w:r>
    </w:p>
    <w:p w:rsidR="002E4DB7" w:rsidRPr="00CD0548" w:rsidRDefault="002E4DB7" w:rsidP="00A101A1">
      <w:pPr>
        <w:pStyle w:val="ListParagraph"/>
        <w:numPr>
          <w:ilvl w:val="0"/>
          <w:numId w:val="38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D0548">
        <w:rPr>
          <w:rFonts w:cs="Arial"/>
        </w:rPr>
        <w:t xml:space="preserve">Usurpações territoriais feitas por nobres e eclesiásticos, convertendo propriedades do rei (os </w:t>
      </w:r>
      <w:r w:rsidRPr="00CD0548">
        <w:rPr>
          <w:rFonts w:cs="Arial"/>
          <w:i/>
        </w:rPr>
        <w:t>reguengos</w:t>
      </w:r>
      <w:r w:rsidRPr="00CD0548">
        <w:rPr>
          <w:rFonts w:cs="Arial"/>
        </w:rPr>
        <w:t xml:space="preserve">) e de particulares (os </w:t>
      </w:r>
      <w:r w:rsidRPr="00CD0548">
        <w:rPr>
          <w:rFonts w:cs="Arial"/>
          <w:i/>
        </w:rPr>
        <w:t>alódios</w:t>
      </w:r>
      <w:r w:rsidRPr="00CD0548">
        <w:rPr>
          <w:rFonts w:cs="Arial"/>
        </w:rPr>
        <w:t xml:space="preserve">) em </w:t>
      </w:r>
      <w:r w:rsidRPr="00CD0548">
        <w:rPr>
          <w:rFonts w:cs="Arial"/>
          <w:i/>
        </w:rPr>
        <w:t>honras</w:t>
      </w:r>
      <w:r w:rsidRPr="00CD0548">
        <w:rPr>
          <w:rFonts w:cs="Arial"/>
        </w:rPr>
        <w:t xml:space="preserve"> e </w:t>
      </w:r>
      <w:r w:rsidRPr="00CD0548">
        <w:rPr>
          <w:rFonts w:cs="Arial"/>
          <w:i/>
        </w:rPr>
        <w:t>coutos</w:t>
      </w:r>
      <w:r w:rsidR="00007379" w:rsidRPr="00CD0548">
        <w:rPr>
          <w:rFonts w:cs="Arial"/>
        </w:rPr>
        <w:t>.</w:t>
      </w:r>
    </w:p>
    <w:p w:rsidR="002E4DB7" w:rsidRPr="00CD0548" w:rsidRDefault="00007379" w:rsidP="00A101A1">
      <w:pPr>
        <w:pStyle w:val="ListParagraph"/>
        <w:numPr>
          <w:ilvl w:val="0"/>
          <w:numId w:val="38"/>
        </w:numPr>
        <w:spacing w:after="0" w:line="240" w:lineRule="auto"/>
        <w:ind w:left="142" w:right="-227" w:hanging="142"/>
        <w:jc w:val="both"/>
        <w:rPr>
          <w:rFonts w:cs="Arial"/>
          <w:b/>
        </w:rPr>
      </w:pPr>
      <w:r w:rsidRPr="00CD0548">
        <w:rPr>
          <w:rFonts w:cs="Arial"/>
        </w:rPr>
        <w:t>D</w:t>
      </w:r>
      <w:r w:rsidR="002E4DB7" w:rsidRPr="00CD0548">
        <w:rPr>
          <w:rFonts w:cs="Arial"/>
        </w:rPr>
        <w:t>eterminação dos direitos e rendas devid</w:t>
      </w:r>
      <w:r w:rsidR="00BD518B" w:rsidRPr="00CD0548">
        <w:rPr>
          <w:rFonts w:cs="Arial"/>
        </w:rPr>
        <w:t>o</w:t>
      </w:r>
      <w:r w:rsidR="002E4DB7" w:rsidRPr="00CD0548">
        <w:rPr>
          <w:rFonts w:cs="Arial"/>
        </w:rPr>
        <w:t>s ao rei nos seus reguengos</w:t>
      </w:r>
      <w:r w:rsidRPr="00CD0548">
        <w:rPr>
          <w:rFonts w:cs="Arial"/>
        </w:rPr>
        <w:t>.</w:t>
      </w:r>
      <w:r w:rsidR="002E4DB7" w:rsidRPr="00CD0548">
        <w:rPr>
          <w:rFonts w:cs="Arial"/>
          <w:b/>
        </w:rPr>
        <w:tab/>
      </w:r>
    </w:p>
    <w:p w:rsidR="002E4DB7" w:rsidRPr="00CD0548" w:rsidRDefault="00007379" w:rsidP="00A101A1">
      <w:pPr>
        <w:pStyle w:val="ListParagraph"/>
        <w:numPr>
          <w:ilvl w:val="0"/>
          <w:numId w:val="38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D0548">
        <w:rPr>
          <w:rFonts w:cs="Arial"/>
        </w:rPr>
        <w:t>E</w:t>
      </w:r>
      <w:r w:rsidR="002E4DB7" w:rsidRPr="00CD0548">
        <w:rPr>
          <w:rFonts w:cs="Arial"/>
        </w:rPr>
        <w:t>xercício indevido do poder público ou político em simples domínios senhoriais, que levava os senhores a apropriarem-se de direitos devidos ao rei.</w:t>
      </w:r>
    </w:p>
    <w:p w:rsidR="002E4DB7" w:rsidRDefault="002E4DB7" w:rsidP="00CD0548">
      <w:pPr>
        <w:pStyle w:val="ListParagraph"/>
        <w:spacing w:after="0" w:line="240" w:lineRule="auto"/>
        <w:ind w:left="0"/>
        <w:jc w:val="both"/>
        <w:rPr>
          <w:rFonts w:cs="Arial"/>
          <w:b/>
        </w:rPr>
      </w:pPr>
    </w:p>
    <w:p w:rsidR="00E12110" w:rsidRDefault="00E12110" w:rsidP="00CD0548">
      <w:pPr>
        <w:pStyle w:val="ListParagraph"/>
        <w:spacing w:after="0" w:line="240" w:lineRule="auto"/>
        <w:ind w:left="0"/>
        <w:jc w:val="both"/>
        <w:rPr>
          <w:rFonts w:cs="Arial"/>
          <w:b/>
        </w:rPr>
      </w:pPr>
    </w:p>
    <w:p w:rsidR="00E12110" w:rsidRDefault="00E12110" w:rsidP="00CD0548">
      <w:pPr>
        <w:pStyle w:val="ListParagraph"/>
        <w:spacing w:after="0" w:line="240" w:lineRule="auto"/>
        <w:ind w:left="0"/>
        <w:jc w:val="both"/>
        <w:rPr>
          <w:rFonts w:cs="Arial"/>
          <w:b/>
        </w:rPr>
      </w:pPr>
    </w:p>
    <w:p w:rsidR="00E12110" w:rsidRDefault="00E12110" w:rsidP="00CD0548">
      <w:pPr>
        <w:pStyle w:val="ListParagraph"/>
        <w:spacing w:after="0" w:line="240" w:lineRule="auto"/>
        <w:ind w:left="0"/>
        <w:jc w:val="both"/>
        <w:rPr>
          <w:rFonts w:cs="Arial"/>
          <w:b/>
        </w:rPr>
      </w:pPr>
    </w:p>
    <w:p w:rsidR="00E12110" w:rsidRPr="00CD0548" w:rsidRDefault="00E12110" w:rsidP="00CD0548">
      <w:pPr>
        <w:pStyle w:val="ListParagraph"/>
        <w:spacing w:after="0" w:line="240" w:lineRule="auto"/>
        <w:ind w:left="0"/>
        <w:jc w:val="both"/>
        <w:rPr>
          <w:rFonts w:cs="Arial"/>
          <w:b/>
        </w:rPr>
      </w:pPr>
    </w:p>
    <w:p w:rsidR="00A101A1" w:rsidRDefault="00E12110" w:rsidP="00A101A1">
      <w:pPr>
        <w:pStyle w:val="ListParagraph"/>
        <w:spacing w:after="0" w:line="240" w:lineRule="auto"/>
        <w:ind w:left="0"/>
        <w:contextualSpacing w:val="0"/>
        <w:jc w:val="both"/>
        <w:rPr>
          <w:rFonts w:cs="Arial"/>
          <w:b/>
        </w:rPr>
      </w:pPr>
      <w:r w:rsidRPr="005A164D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22D9936" wp14:editId="7A5B6C9A">
                <wp:simplePos x="0" y="0"/>
                <wp:positionH relativeFrom="page">
                  <wp:align>left</wp:align>
                </wp:positionH>
                <wp:positionV relativeFrom="paragraph">
                  <wp:posOffset>-536575</wp:posOffset>
                </wp:positionV>
                <wp:extent cx="7562850" cy="285750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F69F78" id="Rectangle 3" o:spid="_x0000_s1026" style="position:absolute;margin-left:0;margin-top:-42.25pt;width:595.5pt;height:22.5pt;z-index:25166387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" fillcolor="#7030a0" stroked="f" strokeweight="2pt">
                <w10:wrap anchorx="page"/>
              </v:rect>
            </w:pict>
          </mc:Fallback>
        </mc:AlternateContent>
      </w:r>
      <w:r w:rsidR="00A101A1">
        <w:rPr>
          <w:rFonts w:cs="BureauGrotCond-Bold"/>
          <w:b/>
          <w:bCs/>
          <w:color w:val="004F9F"/>
        </w:rPr>
        <w:t>Questão 4</w:t>
      </w:r>
    </w:p>
    <w:p w:rsidR="002E4DB7" w:rsidRPr="00CD0548" w:rsidRDefault="002E4DB7" w:rsidP="00A101A1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CD0548">
        <w:rPr>
          <w:rFonts w:cs="Arial"/>
          <w:b/>
        </w:rPr>
        <w:t>Explicar, a partir do Doc. 2, a entrada dos vereadores nos concelhos.</w:t>
      </w:r>
    </w:p>
    <w:p w:rsidR="002E4DB7" w:rsidRPr="00CD0548" w:rsidRDefault="002E4DB7" w:rsidP="00A101A1">
      <w:pPr>
        <w:pStyle w:val="ListParagraph"/>
        <w:numPr>
          <w:ilvl w:val="0"/>
          <w:numId w:val="39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D0548">
        <w:rPr>
          <w:rFonts w:cs="Arial"/>
        </w:rPr>
        <w:t>Preocupação régia com a exploração económica do reino: “…</w:t>
      </w:r>
      <w:r w:rsidR="00BD518B" w:rsidRPr="00CD0548">
        <w:rPr>
          <w:rFonts w:cs="Arial"/>
        </w:rPr>
        <w:t xml:space="preserve"> </w:t>
      </w:r>
      <w:r w:rsidRPr="00CD0548">
        <w:rPr>
          <w:rFonts w:cs="Arial"/>
        </w:rPr>
        <w:t>propriedades e herdades…</w:t>
      </w:r>
      <w:r w:rsidR="00BD518B" w:rsidRPr="00CD0548">
        <w:rPr>
          <w:rFonts w:cs="Arial"/>
        </w:rPr>
        <w:t xml:space="preserve"> </w:t>
      </w:r>
      <w:r w:rsidRPr="00CD0548">
        <w:rPr>
          <w:rFonts w:cs="Arial"/>
        </w:rPr>
        <w:t>se são aproveitados como devem”</w:t>
      </w:r>
      <w:r w:rsidR="00007379" w:rsidRPr="00CD0548">
        <w:rPr>
          <w:rFonts w:cs="Arial"/>
        </w:rPr>
        <w:t>.</w:t>
      </w:r>
    </w:p>
    <w:p w:rsidR="002E4DB7" w:rsidRPr="00CD0548" w:rsidRDefault="00007379" w:rsidP="00A101A1">
      <w:pPr>
        <w:pStyle w:val="ListParagraph"/>
        <w:numPr>
          <w:ilvl w:val="0"/>
          <w:numId w:val="39"/>
        </w:numPr>
        <w:spacing w:after="0" w:line="240" w:lineRule="auto"/>
        <w:ind w:left="142" w:right="-227" w:hanging="142"/>
        <w:jc w:val="both"/>
        <w:rPr>
          <w:rFonts w:cs="Arial"/>
        </w:rPr>
      </w:pPr>
      <w:r w:rsidRPr="00CD0548">
        <w:rPr>
          <w:rFonts w:cs="Arial"/>
        </w:rPr>
        <w:t>Preocupação</w:t>
      </w:r>
      <w:r w:rsidR="002E4DB7" w:rsidRPr="00CD0548">
        <w:rPr>
          <w:rFonts w:cs="Arial"/>
        </w:rPr>
        <w:t xml:space="preserve"> da autoridade régia com a administração local levou o rei D. Afonso III a estabelecer uma nova organização administrativa do território português, dividindo-o em comarcas </w:t>
      </w:r>
      <w:r w:rsidR="002E4DB7" w:rsidRPr="00CD0548">
        <w:rPr>
          <w:rFonts w:cs="Arial"/>
        </w:rPr>
        <w:lastRenderedPageBreak/>
        <w:t>(subdivididas em julgados e estes em almoxarifados), onde funcionários régios (meiri</w:t>
      </w:r>
      <w:bookmarkStart w:id="0" w:name="_GoBack"/>
      <w:bookmarkEnd w:id="0"/>
      <w:r w:rsidR="002E4DB7" w:rsidRPr="00CD0548">
        <w:rPr>
          <w:rFonts w:cs="Arial"/>
        </w:rPr>
        <w:t>nhos, corregedores, juízes, mordomos e almoxarifes) superintendiam a cobrança das rendas e direitos devidos à Coroa, quer nos reguengos quer nos senhorios e nos concelhos</w:t>
      </w:r>
      <w:r w:rsidRPr="00CD0548">
        <w:rPr>
          <w:rFonts w:cs="Arial"/>
        </w:rPr>
        <w:t>.</w:t>
      </w:r>
    </w:p>
    <w:p w:rsidR="00A101A1" w:rsidRDefault="00007379" w:rsidP="00A101A1">
      <w:pPr>
        <w:pStyle w:val="ListParagraph"/>
        <w:numPr>
          <w:ilvl w:val="0"/>
          <w:numId w:val="39"/>
        </w:numPr>
        <w:spacing w:after="0" w:line="240" w:lineRule="auto"/>
        <w:ind w:left="142" w:right="-227" w:hanging="142"/>
        <w:jc w:val="both"/>
        <w:rPr>
          <w:rFonts w:cs="Arial"/>
        </w:rPr>
        <w:sectPr w:rsidR="00A101A1" w:rsidSect="00A101A1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  <w:r w:rsidRPr="00CD0548">
        <w:rPr>
          <w:rFonts w:cs="Arial"/>
        </w:rPr>
        <w:t>P</w:t>
      </w:r>
      <w:r w:rsidR="002E4DB7" w:rsidRPr="00CD0548">
        <w:rPr>
          <w:rFonts w:cs="Arial"/>
        </w:rPr>
        <w:t>ara controlo e impedimento de abusos e ameaças às prerrogativas régias por parte dos concelhos, o rei nomeava, ainda, os juízes de fora e os vereadores do concelho (</w:t>
      </w:r>
      <w:r w:rsidR="002E4DB7" w:rsidRPr="00CD0548">
        <w:rPr>
          <w:rFonts w:cs="Arial"/>
          <w:b/>
        </w:rPr>
        <w:t>Doc. 2</w:t>
      </w:r>
      <w:r w:rsidR="002E4DB7" w:rsidRPr="00CD0548">
        <w:rPr>
          <w:rFonts w:cs="Arial"/>
        </w:rPr>
        <w:t>).</w:t>
      </w:r>
    </w:p>
    <w:p w:rsidR="002E4DB7" w:rsidRPr="00CD0548" w:rsidRDefault="002E4DB7" w:rsidP="00A101A1">
      <w:pPr>
        <w:pStyle w:val="ListParagraph"/>
        <w:spacing w:after="0" w:line="240" w:lineRule="auto"/>
        <w:ind w:left="0"/>
        <w:jc w:val="both"/>
        <w:rPr>
          <w:rFonts w:cs="Arial"/>
        </w:rPr>
      </w:pPr>
    </w:p>
    <w:p w:rsidR="00066311" w:rsidRPr="00CD0548" w:rsidRDefault="00066311" w:rsidP="00CD0548">
      <w:pPr>
        <w:pStyle w:val="ListParagraph"/>
        <w:spacing w:after="0" w:line="240" w:lineRule="auto"/>
        <w:ind w:left="0"/>
        <w:rPr>
          <w:rFonts w:cs="Arial"/>
        </w:rPr>
      </w:pPr>
    </w:p>
    <w:sectPr w:rsidR="00066311" w:rsidRPr="00CD0548" w:rsidSect="00A101A1">
      <w:type w:val="continuous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02FD" w:rsidRDefault="000A02FD" w:rsidP="000E79C7">
      <w:pPr>
        <w:spacing w:after="0" w:line="240" w:lineRule="auto"/>
      </w:pPr>
      <w:r>
        <w:separator/>
      </w:r>
    </w:p>
  </w:endnote>
  <w:endnote w:type="continuationSeparator" w:id="0">
    <w:p w:rsidR="000A02FD" w:rsidRDefault="000A02FD" w:rsidP="000E7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ureauGr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E42" w:rsidRPr="00CE0E42" w:rsidRDefault="00CE0E42" w:rsidP="00CE0E42">
    <w:pPr>
      <w:pStyle w:val="Footer"/>
      <w:jc w:val="right"/>
      <w:rPr>
        <w:i/>
        <w:sz w:val="16"/>
      </w:rPr>
    </w:pPr>
    <w:r>
      <w:rPr>
        <w:i/>
        <w:sz w:val="16"/>
      </w:rPr>
      <w:t>Um novo Tempo da História</w:t>
    </w:r>
    <w:r w:rsidR="00E12110">
      <w:rPr>
        <w:i/>
        <w:sz w:val="16"/>
      </w:rPr>
      <w:t>,</w:t>
    </w:r>
    <w:r w:rsidR="003703AC">
      <w:rPr>
        <w:i/>
        <w:sz w:val="16"/>
      </w:rPr>
      <w:t xml:space="preserve"> 10.º ano</w:t>
    </w:r>
    <w:r>
      <w:rPr>
        <w:i/>
        <w:sz w:val="16"/>
      </w:rPr>
      <w:t xml:space="preserve"> – Soluções do Caderno do Aluno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02FD" w:rsidRDefault="000A02FD" w:rsidP="000E79C7">
      <w:pPr>
        <w:spacing w:after="0" w:line="240" w:lineRule="auto"/>
      </w:pPr>
      <w:r>
        <w:separator/>
      </w:r>
    </w:p>
  </w:footnote>
  <w:footnote w:type="continuationSeparator" w:id="0">
    <w:p w:rsidR="000A02FD" w:rsidRDefault="000A02FD" w:rsidP="000E79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8574D"/>
    <w:multiLevelType w:val="hybridMultilevel"/>
    <w:tmpl w:val="FEFE19DA"/>
    <w:lvl w:ilvl="0" w:tplc="F0A80FD6">
      <w:start w:val="1"/>
      <w:numFmt w:val="bullet"/>
      <w:lvlText w:val="-"/>
      <w:lvlJc w:val="left"/>
      <w:pPr>
        <w:ind w:left="1004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6CE45F8"/>
    <w:multiLevelType w:val="hybridMultilevel"/>
    <w:tmpl w:val="1BA28CA2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6E53A0B"/>
    <w:multiLevelType w:val="hybridMultilevel"/>
    <w:tmpl w:val="ABA42254"/>
    <w:lvl w:ilvl="0" w:tplc="F0A80FD6">
      <w:start w:val="1"/>
      <w:numFmt w:val="bullet"/>
      <w:lvlText w:val="-"/>
      <w:lvlJc w:val="left"/>
      <w:pPr>
        <w:ind w:left="36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89C6F98"/>
    <w:multiLevelType w:val="hybridMultilevel"/>
    <w:tmpl w:val="DAF45B42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D274F1A"/>
    <w:multiLevelType w:val="hybridMultilevel"/>
    <w:tmpl w:val="A47CA94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566B27"/>
    <w:multiLevelType w:val="hybridMultilevel"/>
    <w:tmpl w:val="4DFAF8E4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DB2154"/>
    <w:multiLevelType w:val="hybridMultilevel"/>
    <w:tmpl w:val="98486E90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76F3C39"/>
    <w:multiLevelType w:val="hybridMultilevel"/>
    <w:tmpl w:val="120EEB28"/>
    <w:lvl w:ilvl="0" w:tplc="E79CDCA2">
      <w:start w:val="1"/>
      <w:numFmt w:val="decimal"/>
      <w:lvlText w:val="%1."/>
      <w:lvlJc w:val="left"/>
      <w:pPr>
        <w:ind w:left="862" w:hanging="360"/>
      </w:pPr>
      <w:rPr>
        <w:color w:val="FF0000"/>
      </w:rPr>
    </w:lvl>
    <w:lvl w:ilvl="1" w:tplc="08160019">
      <w:start w:val="1"/>
      <w:numFmt w:val="lowerLetter"/>
      <w:lvlText w:val="%2."/>
      <w:lvlJc w:val="left"/>
      <w:pPr>
        <w:ind w:left="1582" w:hanging="360"/>
      </w:pPr>
    </w:lvl>
    <w:lvl w:ilvl="2" w:tplc="0816001B">
      <w:start w:val="1"/>
      <w:numFmt w:val="lowerRoman"/>
      <w:lvlText w:val="%3."/>
      <w:lvlJc w:val="right"/>
      <w:pPr>
        <w:ind w:left="2302" w:hanging="180"/>
      </w:pPr>
    </w:lvl>
    <w:lvl w:ilvl="3" w:tplc="0816000F">
      <w:start w:val="1"/>
      <w:numFmt w:val="decimal"/>
      <w:lvlText w:val="%4."/>
      <w:lvlJc w:val="left"/>
      <w:pPr>
        <w:ind w:left="3022" w:hanging="360"/>
      </w:pPr>
    </w:lvl>
    <w:lvl w:ilvl="4" w:tplc="08160019">
      <w:start w:val="1"/>
      <w:numFmt w:val="lowerLetter"/>
      <w:lvlText w:val="%5."/>
      <w:lvlJc w:val="left"/>
      <w:pPr>
        <w:ind w:left="3742" w:hanging="360"/>
      </w:pPr>
    </w:lvl>
    <w:lvl w:ilvl="5" w:tplc="0816001B">
      <w:start w:val="1"/>
      <w:numFmt w:val="lowerRoman"/>
      <w:lvlText w:val="%6."/>
      <w:lvlJc w:val="right"/>
      <w:pPr>
        <w:ind w:left="4462" w:hanging="180"/>
      </w:pPr>
    </w:lvl>
    <w:lvl w:ilvl="6" w:tplc="0816000F">
      <w:start w:val="1"/>
      <w:numFmt w:val="decimal"/>
      <w:lvlText w:val="%7."/>
      <w:lvlJc w:val="left"/>
      <w:pPr>
        <w:ind w:left="5182" w:hanging="360"/>
      </w:pPr>
    </w:lvl>
    <w:lvl w:ilvl="7" w:tplc="08160019">
      <w:start w:val="1"/>
      <w:numFmt w:val="lowerLetter"/>
      <w:lvlText w:val="%8."/>
      <w:lvlJc w:val="left"/>
      <w:pPr>
        <w:ind w:left="5902" w:hanging="360"/>
      </w:pPr>
    </w:lvl>
    <w:lvl w:ilvl="8" w:tplc="0816001B">
      <w:start w:val="1"/>
      <w:numFmt w:val="lowerRoman"/>
      <w:lvlText w:val="%9."/>
      <w:lvlJc w:val="right"/>
      <w:pPr>
        <w:ind w:left="6622" w:hanging="180"/>
      </w:pPr>
    </w:lvl>
  </w:abstractNum>
  <w:abstractNum w:abstractNumId="8">
    <w:nsid w:val="186E65BD"/>
    <w:multiLevelType w:val="hybridMultilevel"/>
    <w:tmpl w:val="C278F47E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BD20FAF"/>
    <w:multiLevelType w:val="hybridMultilevel"/>
    <w:tmpl w:val="C550275C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DC70CD9"/>
    <w:multiLevelType w:val="hybridMultilevel"/>
    <w:tmpl w:val="11A435CE"/>
    <w:lvl w:ilvl="0" w:tplc="7688DC1A">
      <w:start w:val="1"/>
      <w:numFmt w:val="decimal"/>
      <w:lvlText w:val="%1."/>
      <w:lvlJc w:val="left"/>
      <w:pPr>
        <w:ind w:left="360" w:hanging="360"/>
      </w:pPr>
      <w:rPr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F76203C"/>
    <w:multiLevelType w:val="hybridMultilevel"/>
    <w:tmpl w:val="BD8C1BE8"/>
    <w:lvl w:ilvl="0" w:tplc="F0A80FD6">
      <w:start w:val="1"/>
      <w:numFmt w:val="bullet"/>
      <w:lvlText w:val="-"/>
      <w:lvlJc w:val="left"/>
      <w:pPr>
        <w:ind w:left="1004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65D6634"/>
    <w:multiLevelType w:val="hybridMultilevel"/>
    <w:tmpl w:val="C98A4FB0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9817F47"/>
    <w:multiLevelType w:val="hybridMultilevel"/>
    <w:tmpl w:val="81181450"/>
    <w:lvl w:ilvl="0" w:tplc="ACA6E694">
      <w:start w:val="1"/>
      <w:numFmt w:val="decimal"/>
      <w:lvlText w:val="%1."/>
      <w:lvlJc w:val="left"/>
      <w:pPr>
        <w:ind w:left="360" w:hanging="360"/>
      </w:pPr>
      <w:rPr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9874B14"/>
    <w:multiLevelType w:val="hybridMultilevel"/>
    <w:tmpl w:val="4CB42CAA"/>
    <w:lvl w:ilvl="0" w:tplc="2E666E3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4945FE"/>
    <w:multiLevelType w:val="hybridMultilevel"/>
    <w:tmpl w:val="CB6437CA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CF781B"/>
    <w:multiLevelType w:val="hybridMultilevel"/>
    <w:tmpl w:val="7CBCC6B4"/>
    <w:lvl w:ilvl="0" w:tplc="F0A80FD6">
      <w:start w:val="1"/>
      <w:numFmt w:val="bullet"/>
      <w:lvlText w:val="-"/>
      <w:lvlJc w:val="left"/>
      <w:pPr>
        <w:ind w:left="36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6DF5249"/>
    <w:multiLevelType w:val="hybridMultilevel"/>
    <w:tmpl w:val="19C63DBA"/>
    <w:lvl w:ilvl="0" w:tplc="F0A80FD6">
      <w:start w:val="1"/>
      <w:numFmt w:val="bullet"/>
      <w:lvlText w:val="-"/>
      <w:lvlJc w:val="left"/>
      <w:pPr>
        <w:ind w:left="1068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393A1265"/>
    <w:multiLevelType w:val="hybridMultilevel"/>
    <w:tmpl w:val="DDD6F672"/>
    <w:lvl w:ilvl="0" w:tplc="EDC8A350">
      <w:start w:val="1"/>
      <w:numFmt w:val="decimal"/>
      <w:lvlText w:val="%1."/>
      <w:lvlJc w:val="left"/>
      <w:pPr>
        <w:ind w:left="502" w:hanging="360"/>
      </w:pPr>
      <w:rPr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CE4280E"/>
    <w:multiLevelType w:val="hybridMultilevel"/>
    <w:tmpl w:val="B8A2D690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F030DE3"/>
    <w:multiLevelType w:val="hybridMultilevel"/>
    <w:tmpl w:val="1A9C137A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F625700"/>
    <w:multiLevelType w:val="hybridMultilevel"/>
    <w:tmpl w:val="E66A0C54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42D29F0"/>
    <w:multiLevelType w:val="hybridMultilevel"/>
    <w:tmpl w:val="0C7AF77A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BE41FA3"/>
    <w:multiLevelType w:val="hybridMultilevel"/>
    <w:tmpl w:val="551A4088"/>
    <w:lvl w:ilvl="0" w:tplc="11A8A89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365D08"/>
    <w:multiLevelType w:val="hybridMultilevel"/>
    <w:tmpl w:val="EDBAC068"/>
    <w:lvl w:ilvl="0" w:tplc="5E5097BE">
      <w:start w:val="1"/>
      <w:numFmt w:val="decimal"/>
      <w:lvlText w:val="%1."/>
      <w:lvlJc w:val="left"/>
      <w:pPr>
        <w:ind w:left="360" w:hanging="360"/>
      </w:pPr>
      <w:rPr>
        <w:rFonts w:ascii="MyriadPro-SemiCn" w:hAnsi="MyriadPro-SemiCn" w:cs="MyriadPro-SemiCn" w:hint="default"/>
        <w:b/>
        <w:i w:val="0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26070E5"/>
    <w:multiLevelType w:val="hybridMultilevel"/>
    <w:tmpl w:val="A7888F4A"/>
    <w:lvl w:ilvl="0" w:tplc="F0A80FD6">
      <w:start w:val="1"/>
      <w:numFmt w:val="bullet"/>
      <w:lvlText w:val="-"/>
      <w:lvlJc w:val="left"/>
      <w:pPr>
        <w:ind w:left="1287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544E0192"/>
    <w:multiLevelType w:val="hybridMultilevel"/>
    <w:tmpl w:val="D5A6FA0E"/>
    <w:lvl w:ilvl="0" w:tplc="F0A80FD6">
      <w:start w:val="1"/>
      <w:numFmt w:val="bullet"/>
      <w:lvlText w:val="-"/>
      <w:lvlJc w:val="left"/>
      <w:pPr>
        <w:ind w:left="1428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>
    <w:nsid w:val="56042580"/>
    <w:multiLevelType w:val="hybridMultilevel"/>
    <w:tmpl w:val="58A62E62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245AAB"/>
    <w:multiLevelType w:val="hybridMultilevel"/>
    <w:tmpl w:val="BC1C0E88"/>
    <w:lvl w:ilvl="0" w:tplc="F0A80FD6">
      <w:start w:val="1"/>
      <w:numFmt w:val="bullet"/>
      <w:lvlText w:val="-"/>
      <w:lvlJc w:val="left"/>
      <w:pPr>
        <w:ind w:left="1068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>
    <w:nsid w:val="58B44495"/>
    <w:multiLevelType w:val="hybridMultilevel"/>
    <w:tmpl w:val="9336F82C"/>
    <w:lvl w:ilvl="0" w:tplc="F0A80FD6">
      <w:start w:val="1"/>
      <w:numFmt w:val="bullet"/>
      <w:lvlText w:val="-"/>
      <w:lvlJc w:val="left"/>
      <w:pPr>
        <w:ind w:left="1219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30">
    <w:nsid w:val="5AA06A08"/>
    <w:multiLevelType w:val="hybridMultilevel"/>
    <w:tmpl w:val="304E6CCC"/>
    <w:lvl w:ilvl="0" w:tplc="4154AC8C">
      <w:start w:val="1"/>
      <w:numFmt w:val="decimal"/>
      <w:lvlText w:val="%1."/>
      <w:lvlJc w:val="left"/>
      <w:pPr>
        <w:ind w:left="360" w:hanging="360"/>
      </w:pPr>
      <w:rPr>
        <w:b/>
        <w:color w:val="FF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5E9AC8B6">
      <w:start w:val="1"/>
      <w:numFmt w:val="decimal"/>
      <w:lvlText w:val="%4."/>
      <w:lvlJc w:val="left"/>
      <w:pPr>
        <w:ind w:left="2520" w:hanging="360"/>
      </w:pPr>
      <w:rPr>
        <w:color w:val="FF0000"/>
      </w:r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DD04371"/>
    <w:multiLevelType w:val="hybridMultilevel"/>
    <w:tmpl w:val="BE60DCD8"/>
    <w:lvl w:ilvl="0" w:tplc="EE68BD66">
      <w:start w:val="1"/>
      <w:numFmt w:val="decimal"/>
      <w:lvlText w:val="%1."/>
      <w:lvlJc w:val="left"/>
      <w:pPr>
        <w:ind w:left="360" w:hanging="360"/>
      </w:pPr>
      <w:rPr>
        <w:b/>
        <w:bCs/>
        <w:color w:val="FF0000"/>
      </w:rPr>
    </w:lvl>
    <w:lvl w:ilvl="1" w:tplc="08160019">
      <w:start w:val="1"/>
      <w:numFmt w:val="lowerLetter"/>
      <w:lvlText w:val="%2."/>
      <w:lvlJc w:val="left"/>
      <w:pPr>
        <w:ind w:left="1222" w:hanging="360"/>
      </w:pPr>
    </w:lvl>
    <w:lvl w:ilvl="2" w:tplc="0816001B">
      <w:start w:val="1"/>
      <w:numFmt w:val="lowerRoman"/>
      <w:lvlText w:val="%3."/>
      <w:lvlJc w:val="right"/>
      <w:pPr>
        <w:ind w:left="1942" w:hanging="180"/>
      </w:pPr>
    </w:lvl>
    <w:lvl w:ilvl="3" w:tplc="0816000F">
      <w:start w:val="1"/>
      <w:numFmt w:val="decimal"/>
      <w:lvlText w:val="%4."/>
      <w:lvlJc w:val="left"/>
      <w:pPr>
        <w:ind w:left="2662" w:hanging="360"/>
      </w:pPr>
    </w:lvl>
    <w:lvl w:ilvl="4" w:tplc="08160019">
      <w:start w:val="1"/>
      <w:numFmt w:val="lowerLetter"/>
      <w:lvlText w:val="%5."/>
      <w:lvlJc w:val="left"/>
      <w:pPr>
        <w:ind w:left="3382" w:hanging="360"/>
      </w:pPr>
    </w:lvl>
    <w:lvl w:ilvl="5" w:tplc="0816001B">
      <w:start w:val="1"/>
      <w:numFmt w:val="lowerRoman"/>
      <w:lvlText w:val="%6."/>
      <w:lvlJc w:val="right"/>
      <w:pPr>
        <w:ind w:left="4102" w:hanging="180"/>
      </w:pPr>
    </w:lvl>
    <w:lvl w:ilvl="6" w:tplc="0816000F">
      <w:start w:val="1"/>
      <w:numFmt w:val="decimal"/>
      <w:lvlText w:val="%7."/>
      <w:lvlJc w:val="left"/>
      <w:pPr>
        <w:ind w:left="4822" w:hanging="360"/>
      </w:pPr>
    </w:lvl>
    <w:lvl w:ilvl="7" w:tplc="08160019">
      <w:start w:val="1"/>
      <w:numFmt w:val="lowerLetter"/>
      <w:lvlText w:val="%8."/>
      <w:lvlJc w:val="left"/>
      <w:pPr>
        <w:ind w:left="5542" w:hanging="360"/>
      </w:pPr>
    </w:lvl>
    <w:lvl w:ilvl="8" w:tplc="0816001B">
      <w:start w:val="1"/>
      <w:numFmt w:val="lowerRoman"/>
      <w:lvlText w:val="%9."/>
      <w:lvlJc w:val="right"/>
      <w:pPr>
        <w:ind w:left="6262" w:hanging="180"/>
      </w:pPr>
    </w:lvl>
  </w:abstractNum>
  <w:abstractNum w:abstractNumId="32">
    <w:nsid w:val="602707CA"/>
    <w:multiLevelType w:val="hybridMultilevel"/>
    <w:tmpl w:val="30382CD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3F2016"/>
    <w:multiLevelType w:val="hybridMultilevel"/>
    <w:tmpl w:val="543ABA32"/>
    <w:lvl w:ilvl="0" w:tplc="B81EE214">
      <w:start w:val="2"/>
      <w:numFmt w:val="decimal"/>
      <w:lvlText w:val="%1."/>
      <w:lvlJc w:val="left"/>
      <w:pPr>
        <w:ind w:left="360" w:hanging="360"/>
      </w:pPr>
      <w:rPr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63C47CF"/>
    <w:multiLevelType w:val="hybridMultilevel"/>
    <w:tmpl w:val="27E00D32"/>
    <w:lvl w:ilvl="0" w:tplc="F0A80FD6">
      <w:start w:val="1"/>
      <w:numFmt w:val="bullet"/>
      <w:lvlText w:val="-"/>
      <w:lvlJc w:val="left"/>
      <w:pPr>
        <w:ind w:left="768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5">
    <w:nsid w:val="671675F1"/>
    <w:multiLevelType w:val="hybridMultilevel"/>
    <w:tmpl w:val="C34E3D1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7A908D8"/>
    <w:multiLevelType w:val="hybridMultilevel"/>
    <w:tmpl w:val="0E38F8E4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A661788"/>
    <w:multiLevelType w:val="hybridMultilevel"/>
    <w:tmpl w:val="FCDC3DA4"/>
    <w:lvl w:ilvl="0" w:tplc="F0A80FD6">
      <w:start w:val="1"/>
      <w:numFmt w:val="bullet"/>
      <w:lvlText w:val="-"/>
      <w:lvlJc w:val="left"/>
      <w:pPr>
        <w:ind w:left="1004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>
    <w:nsid w:val="6AD00BE9"/>
    <w:multiLevelType w:val="hybridMultilevel"/>
    <w:tmpl w:val="8FFAD934"/>
    <w:lvl w:ilvl="0" w:tplc="17569C40">
      <w:start w:val="1"/>
      <w:numFmt w:val="decimal"/>
      <w:lvlText w:val="%1."/>
      <w:lvlJc w:val="left"/>
      <w:pPr>
        <w:ind w:left="360" w:hanging="360"/>
      </w:pPr>
      <w:rPr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F974E1F"/>
    <w:multiLevelType w:val="hybridMultilevel"/>
    <w:tmpl w:val="131A1B62"/>
    <w:lvl w:ilvl="0" w:tplc="DF0A400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1C4641"/>
    <w:multiLevelType w:val="hybridMultilevel"/>
    <w:tmpl w:val="C520F71C"/>
    <w:lvl w:ilvl="0" w:tplc="46FED5F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FF000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165E62"/>
    <w:multiLevelType w:val="hybridMultilevel"/>
    <w:tmpl w:val="609A5656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F5527BF"/>
    <w:multiLevelType w:val="hybridMultilevel"/>
    <w:tmpl w:val="EE3CF49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1"/>
  </w:num>
  <w:num w:numId="5">
    <w:abstractNumId w:val="34"/>
  </w:num>
  <w:num w:numId="6">
    <w:abstractNumId w:val="27"/>
  </w:num>
  <w:num w:numId="7">
    <w:abstractNumId w:val="29"/>
  </w:num>
  <w:num w:numId="8">
    <w:abstractNumId w:val="4"/>
  </w:num>
  <w:num w:numId="9">
    <w:abstractNumId w:val="25"/>
  </w:num>
  <w:num w:numId="10">
    <w:abstractNumId w:val="30"/>
  </w:num>
  <w:num w:numId="11">
    <w:abstractNumId w:val="12"/>
  </w:num>
  <w:num w:numId="12">
    <w:abstractNumId w:val="32"/>
  </w:num>
  <w:num w:numId="13">
    <w:abstractNumId w:val="15"/>
  </w:num>
  <w:num w:numId="14">
    <w:abstractNumId w:val="3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7"/>
  </w:num>
  <w:num w:numId="16">
    <w:abstractNumId w:val="17"/>
  </w:num>
  <w:num w:numId="17">
    <w:abstractNumId w:val="0"/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0"/>
  </w:num>
  <w:num w:numId="21">
    <w:abstractNumId w:val="7"/>
  </w:num>
  <w:num w:numId="22">
    <w:abstractNumId w:val="30"/>
  </w:num>
  <w:num w:numId="23">
    <w:abstractNumId w:val="42"/>
  </w:num>
  <w:num w:numId="24">
    <w:abstractNumId w:val="9"/>
  </w:num>
  <w:num w:numId="25">
    <w:abstractNumId w:val="26"/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</w:num>
  <w:num w:numId="28">
    <w:abstractNumId w:val="8"/>
  </w:num>
  <w:num w:numId="29">
    <w:abstractNumId w:val="5"/>
  </w:num>
  <w:num w:numId="30">
    <w:abstractNumId w:val="19"/>
  </w:num>
  <w:num w:numId="3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"/>
  </w:num>
  <w:num w:numId="33">
    <w:abstractNumId w:val="22"/>
  </w:num>
  <w:num w:numId="34">
    <w:abstractNumId w:val="16"/>
  </w:num>
  <w:num w:numId="35">
    <w:abstractNumId w:val="2"/>
  </w:num>
  <w:num w:numId="36">
    <w:abstractNumId w:val="36"/>
  </w:num>
  <w:num w:numId="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5"/>
  </w:num>
  <w:num w:numId="39">
    <w:abstractNumId w:val="21"/>
  </w:num>
  <w:num w:numId="40">
    <w:abstractNumId w:val="6"/>
  </w:num>
  <w:num w:numId="41">
    <w:abstractNumId w:val="1"/>
  </w:num>
  <w:num w:numId="42">
    <w:abstractNumId w:val="11"/>
  </w:num>
  <w:num w:numId="43">
    <w:abstractNumId w:val="14"/>
  </w:num>
  <w:num w:numId="44">
    <w:abstractNumId w:val="24"/>
  </w:num>
  <w:num w:numId="45">
    <w:abstractNumId w:val="18"/>
  </w:num>
  <w:num w:numId="46">
    <w:abstractNumId w:val="3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1A"/>
    <w:rsid w:val="000029CB"/>
    <w:rsid w:val="00007379"/>
    <w:rsid w:val="000123F4"/>
    <w:rsid w:val="00041C6B"/>
    <w:rsid w:val="00050FC9"/>
    <w:rsid w:val="0005539F"/>
    <w:rsid w:val="00062906"/>
    <w:rsid w:val="00063EE6"/>
    <w:rsid w:val="00066311"/>
    <w:rsid w:val="00091D7F"/>
    <w:rsid w:val="00095B2B"/>
    <w:rsid w:val="000A02FD"/>
    <w:rsid w:val="000B1E99"/>
    <w:rsid w:val="000B205E"/>
    <w:rsid w:val="000B2D33"/>
    <w:rsid w:val="000E32E2"/>
    <w:rsid w:val="000E79C7"/>
    <w:rsid w:val="000F5640"/>
    <w:rsid w:val="00116AA0"/>
    <w:rsid w:val="00126549"/>
    <w:rsid w:val="00130E0D"/>
    <w:rsid w:val="001402E0"/>
    <w:rsid w:val="00141C8A"/>
    <w:rsid w:val="00142F0D"/>
    <w:rsid w:val="0014593A"/>
    <w:rsid w:val="0019113C"/>
    <w:rsid w:val="00193006"/>
    <w:rsid w:val="00193F33"/>
    <w:rsid w:val="001B463E"/>
    <w:rsid w:val="001D7F30"/>
    <w:rsid w:val="001E0372"/>
    <w:rsid w:val="001E605F"/>
    <w:rsid w:val="001F0A86"/>
    <w:rsid w:val="001F1A4E"/>
    <w:rsid w:val="00217303"/>
    <w:rsid w:val="00232028"/>
    <w:rsid w:val="00250BF6"/>
    <w:rsid w:val="00251188"/>
    <w:rsid w:val="00270F63"/>
    <w:rsid w:val="002B21E2"/>
    <w:rsid w:val="002B7935"/>
    <w:rsid w:val="002C2EA0"/>
    <w:rsid w:val="002D6723"/>
    <w:rsid w:val="002E4DB7"/>
    <w:rsid w:val="002E6D52"/>
    <w:rsid w:val="003223CE"/>
    <w:rsid w:val="003345EF"/>
    <w:rsid w:val="0035547E"/>
    <w:rsid w:val="003703AC"/>
    <w:rsid w:val="003719C1"/>
    <w:rsid w:val="00380C26"/>
    <w:rsid w:val="00393C4E"/>
    <w:rsid w:val="003970EF"/>
    <w:rsid w:val="003A1CA1"/>
    <w:rsid w:val="003A72CA"/>
    <w:rsid w:val="003C1549"/>
    <w:rsid w:val="003C6C37"/>
    <w:rsid w:val="003C7C76"/>
    <w:rsid w:val="003F58FB"/>
    <w:rsid w:val="00405271"/>
    <w:rsid w:val="004070C5"/>
    <w:rsid w:val="00415A12"/>
    <w:rsid w:val="00434397"/>
    <w:rsid w:val="00453B4D"/>
    <w:rsid w:val="00473EEF"/>
    <w:rsid w:val="004A3E7E"/>
    <w:rsid w:val="004B371F"/>
    <w:rsid w:val="004F4BC2"/>
    <w:rsid w:val="005153A8"/>
    <w:rsid w:val="00580A44"/>
    <w:rsid w:val="00585B9F"/>
    <w:rsid w:val="005914C4"/>
    <w:rsid w:val="0059242B"/>
    <w:rsid w:val="005A7695"/>
    <w:rsid w:val="005C2A43"/>
    <w:rsid w:val="005E1D2B"/>
    <w:rsid w:val="005E22D2"/>
    <w:rsid w:val="005E43CA"/>
    <w:rsid w:val="005E496A"/>
    <w:rsid w:val="005F52E0"/>
    <w:rsid w:val="00615636"/>
    <w:rsid w:val="0061607C"/>
    <w:rsid w:val="0062099D"/>
    <w:rsid w:val="0064299E"/>
    <w:rsid w:val="00650AD3"/>
    <w:rsid w:val="00667B93"/>
    <w:rsid w:val="006709DE"/>
    <w:rsid w:val="00671B3A"/>
    <w:rsid w:val="0067406F"/>
    <w:rsid w:val="00674F3F"/>
    <w:rsid w:val="00677540"/>
    <w:rsid w:val="0068004D"/>
    <w:rsid w:val="00683D85"/>
    <w:rsid w:val="0068551A"/>
    <w:rsid w:val="00692CC4"/>
    <w:rsid w:val="00694948"/>
    <w:rsid w:val="00711A0E"/>
    <w:rsid w:val="007130C9"/>
    <w:rsid w:val="00720CE2"/>
    <w:rsid w:val="00740CE6"/>
    <w:rsid w:val="007721AF"/>
    <w:rsid w:val="00776096"/>
    <w:rsid w:val="007B7441"/>
    <w:rsid w:val="007D235A"/>
    <w:rsid w:val="007D3B84"/>
    <w:rsid w:val="007D7C40"/>
    <w:rsid w:val="00801F05"/>
    <w:rsid w:val="008240AE"/>
    <w:rsid w:val="00824F46"/>
    <w:rsid w:val="00832E41"/>
    <w:rsid w:val="008330DA"/>
    <w:rsid w:val="00835912"/>
    <w:rsid w:val="00864AAD"/>
    <w:rsid w:val="00875F52"/>
    <w:rsid w:val="0089076E"/>
    <w:rsid w:val="008A6253"/>
    <w:rsid w:val="008A7827"/>
    <w:rsid w:val="008D3530"/>
    <w:rsid w:val="008D6F4D"/>
    <w:rsid w:val="008E3769"/>
    <w:rsid w:val="009060B2"/>
    <w:rsid w:val="00910995"/>
    <w:rsid w:val="009169B0"/>
    <w:rsid w:val="00931E13"/>
    <w:rsid w:val="00932426"/>
    <w:rsid w:val="00954AAF"/>
    <w:rsid w:val="009637FF"/>
    <w:rsid w:val="009825A5"/>
    <w:rsid w:val="009955F8"/>
    <w:rsid w:val="009C6F8B"/>
    <w:rsid w:val="009D38CA"/>
    <w:rsid w:val="009D3CAA"/>
    <w:rsid w:val="009E2755"/>
    <w:rsid w:val="00A101A1"/>
    <w:rsid w:val="00A14230"/>
    <w:rsid w:val="00A22722"/>
    <w:rsid w:val="00A2470B"/>
    <w:rsid w:val="00A317AF"/>
    <w:rsid w:val="00A719D1"/>
    <w:rsid w:val="00A75A74"/>
    <w:rsid w:val="00A84C29"/>
    <w:rsid w:val="00A85EBF"/>
    <w:rsid w:val="00A924B4"/>
    <w:rsid w:val="00A96E7F"/>
    <w:rsid w:val="00AA08FB"/>
    <w:rsid w:val="00AA6E6D"/>
    <w:rsid w:val="00AA74D1"/>
    <w:rsid w:val="00AD0024"/>
    <w:rsid w:val="00AE1A3D"/>
    <w:rsid w:val="00AE2C00"/>
    <w:rsid w:val="00AE502F"/>
    <w:rsid w:val="00AF0D74"/>
    <w:rsid w:val="00AF5333"/>
    <w:rsid w:val="00AF6A10"/>
    <w:rsid w:val="00B01CBE"/>
    <w:rsid w:val="00B32F98"/>
    <w:rsid w:val="00B345C4"/>
    <w:rsid w:val="00B5529B"/>
    <w:rsid w:val="00B850ED"/>
    <w:rsid w:val="00B900DC"/>
    <w:rsid w:val="00B92F12"/>
    <w:rsid w:val="00BB6110"/>
    <w:rsid w:val="00BC365C"/>
    <w:rsid w:val="00BD518B"/>
    <w:rsid w:val="00BD611E"/>
    <w:rsid w:val="00BD6663"/>
    <w:rsid w:val="00BE122C"/>
    <w:rsid w:val="00BE131A"/>
    <w:rsid w:val="00BE413D"/>
    <w:rsid w:val="00BE5021"/>
    <w:rsid w:val="00C033F6"/>
    <w:rsid w:val="00C20056"/>
    <w:rsid w:val="00C201F8"/>
    <w:rsid w:val="00C24E9A"/>
    <w:rsid w:val="00C34AA0"/>
    <w:rsid w:val="00C34B7A"/>
    <w:rsid w:val="00C47257"/>
    <w:rsid w:val="00C500AD"/>
    <w:rsid w:val="00C64585"/>
    <w:rsid w:val="00C77A04"/>
    <w:rsid w:val="00C8295C"/>
    <w:rsid w:val="00C878EA"/>
    <w:rsid w:val="00C93971"/>
    <w:rsid w:val="00CB3F74"/>
    <w:rsid w:val="00CC04E2"/>
    <w:rsid w:val="00CD0548"/>
    <w:rsid w:val="00CE0E42"/>
    <w:rsid w:val="00D010ED"/>
    <w:rsid w:val="00D16EB3"/>
    <w:rsid w:val="00D337CD"/>
    <w:rsid w:val="00D36104"/>
    <w:rsid w:val="00D4299C"/>
    <w:rsid w:val="00D60AED"/>
    <w:rsid w:val="00D6196A"/>
    <w:rsid w:val="00D70A7E"/>
    <w:rsid w:val="00D77B9F"/>
    <w:rsid w:val="00D81610"/>
    <w:rsid w:val="00DA2FA1"/>
    <w:rsid w:val="00DB0C5F"/>
    <w:rsid w:val="00DD527D"/>
    <w:rsid w:val="00DD5366"/>
    <w:rsid w:val="00DD5DB5"/>
    <w:rsid w:val="00DD6CF3"/>
    <w:rsid w:val="00DE303D"/>
    <w:rsid w:val="00DE394E"/>
    <w:rsid w:val="00DE7530"/>
    <w:rsid w:val="00DE7E64"/>
    <w:rsid w:val="00DF3D90"/>
    <w:rsid w:val="00DF7DCF"/>
    <w:rsid w:val="00E06430"/>
    <w:rsid w:val="00E077A1"/>
    <w:rsid w:val="00E12110"/>
    <w:rsid w:val="00E231CD"/>
    <w:rsid w:val="00E31539"/>
    <w:rsid w:val="00E32EBF"/>
    <w:rsid w:val="00E7653E"/>
    <w:rsid w:val="00E775B4"/>
    <w:rsid w:val="00E87265"/>
    <w:rsid w:val="00E87B59"/>
    <w:rsid w:val="00E90593"/>
    <w:rsid w:val="00E92AF1"/>
    <w:rsid w:val="00E955DF"/>
    <w:rsid w:val="00E965C8"/>
    <w:rsid w:val="00EA27F5"/>
    <w:rsid w:val="00EA5BA2"/>
    <w:rsid w:val="00EB3970"/>
    <w:rsid w:val="00ED6641"/>
    <w:rsid w:val="00ED774A"/>
    <w:rsid w:val="00EF068C"/>
    <w:rsid w:val="00EF301F"/>
    <w:rsid w:val="00F13ED6"/>
    <w:rsid w:val="00F14DF5"/>
    <w:rsid w:val="00F427E5"/>
    <w:rsid w:val="00F43C0C"/>
    <w:rsid w:val="00F51806"/>
    <w:rsid w:val="00F61F7B"/>
    <w:rsid w:val="00F62806"/>
    <w:rsid w:val="00F64EAA"/>
    <w:rsid w:val="00F771C9"/>
    <w:rsid w:val="00F92731"/>
    <w:rsid w:val="00FA6346"/>
    <w:rsid w:val="00FB680B"/>
    <w:rsid w:val="00FC60C5"/>
    <w:rsid w:val="00FD0EDA"/>
    <w:rsid w:val="00FD36FE"/>
    <w:rsid w:val="00FE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A7B934-D690-4411-8606-9750D2146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1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31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50AD3"/>
    <w:pPr>
      <w:ind w:left="720"/>
      <w:contextualSpacing/>
    </w:pPr>
  </w:style>
  <w:style w:type="character" w:customStyle="1" w:styleId="texto">
    <w:name w:val="texto"/>
    <w:basedOn w:val="DefaultParagraphFont"/>
    <w:rsid w:val="00095B2B"/>
  </w:style>
  <w:style w:type="paragraph" w:styleId="Header">
    <w:name w:val="header"/>
    <w:basedOn w:val="Normal"/>
    <w:link w:val="HeaderChar"/>
    <w:uiPriority w:val="99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9C7"/>
  </w:style>
  <w:style w:type="paragraph" w:styleId="Footer">
    <w:name w:val="footer"/>
    <w:basedOn w:val="Normal"/>
    <w:link w:val="FooterChar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E7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49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A6354-C598-4B67-9B68-93926C359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1219</Words>
  <Characters>6585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7789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Cardoso</dc:creator>
  <cp:lastModifiedBy>Ana Magalhães</cp:lastModifiedBy>
  <cp:revision>6</cp:revision>
  <cp:lastPrinted>2015-04-23T11:22:00Z</cp:lastPrinted>
  <dcterms:created xsi:type="dcterms:W3CDTF">2015-05-15T23:06:00Z</dcterms:created>
  <dcterms:modified xsi:type="dcterms:W3CDTF">2015-06-15T14:15:00Z</dcterms:modified>
</cp:coreProperties>
</file>