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73F66" w:rsidRPr="00F4286E" w:rsidRDefault="00F4286E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D93BF" wp14:editId="07D9D870">
                <wp:simplePos x="0" y="0"/>
                <wp:positionH relativeFrom="page">
                  <wp:align>left</wp:align>
                </wp:positionH>
                <wp:positionV relativeFrom="paragraph">
                  <wp:posOffset>-541729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2912E4" id="Rectangle 1" o:spid="_x0000_s1026" style="position:absolute;margin-left:0;margin-top:-42.65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" fillcolor="#7030a0" strokecolor="#243f60 [1604]" strokeweight="2pt">
                <w10:wrap anchorx="page"/>
              </v:rect>
            </w:pict>
          </mc:Fallback>
        </mc:AlternateContent>
      </w:r>
      <w:r w:rsidR="00573F66" w:rsidRPr="00F4286E">
        <w:rPr>
          <w:rFonts w:cs="BureauGrot-Bold"/>
          <w:b/>
          <w:bCs/>
          <w:color w:val="702D52"/>
          <w:sz w:val="32"/>
          <w:szCs w:val="24"/>
        </w:rPr>
        <w:t>Ficha 20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F4286E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F4286E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F4286E">
        <w:rPr>
          <w:rFonts w:cs="BureauGrot-Bold"/>
          <w:b/>
          <w:bCs/>
          <w:color w:val="702D52"/>
          <w:sz w:val="24"/>
          <w:szCs w:val="24"/>
        </w:rPr>
        <w:t>4. A renovação da espiritualidade e da religiosidade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F4286E">
        <w:rPr>
          <w:rFonts w:cs="BureauGrot-Bold"/>
          <w:b/>
          <w:bCs/>
          <w:color w:val="000000"/>
          <w:sz w:val="24"/>
          <w:szCs w:val="24"/>
        </w:rPr>
        <w:t>4.1. A reforma Protestante</w:t>
      </w:r>
    </w:p>
    <w:p w:rsidR="00832E41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F4286E">
        <w:rPr>
          <w:rFonts w:cs="BureauGrot-Bold"/>
          <w:b/>
          <w:bCs/>
          <w:color w:val="000000"/>
          <w:sz w:val="24"/>
          <w:szCs w:val="24"/>
        </w:rPr>
        <w:t>4.2 Contrarreforma e Reforma Católica. O impacto na sociedade portuguesa</w:t>
      </w:r>
    </w:p>
    <w:p w:rsidR="00932426" w:rsidRPr="00F4286E" w:rsidRDefault="000E32E2" w:rsidP="00F4286E">
      <w:pPr>
        <w:spacing w:after="0" w:line="240" w:lineRule="auto"/>
        <w:rPr>
          <w:rFonts w:cs="Arial"/>
          <w:b/>
        </w:rPr>
      </w:pPr>
      <w:r w:rsidRPr="00F4286E">
        <w:rPr>
          <w:rFonts w:cs="Arial"/>
          <w:b/>
        </w:rPr>
        <w:t xml:space="preserve"> </w:t>
      </w:r>
    </w:p>
    <w:p w:rsidR="00F4286E" w:rsidRDefault="00F4286E" w:rsidP="00F4286E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F4286E" w:rsidSect="008138DA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0A4235" w:rsidRPr="00F4286E" w:rsidRDefault="000A4235" w:rsidP="00F4286E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lastRenderedPageBreak/>
        <w:t>Grupo I</w:t>
      </w:r>
    </w:p>
    <w:p w:rsidR="00F4286E" w:rsidRDefault="00F4286E" w:rsidP="00F4286E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C55AD0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Comparar, a partir das imagens dos Docs. 1 </w:t>
      </w:r>
      <w:proofErr w:type="gramStart"/>
      <w:r w:rsidRPr="00F4286E">
        <w:rPr>
          <w:rFonts w:cs="Arial"/>
          <w:b/>
        </w:rPr>
        <w:t>e</w:t>
      </w:r>
      <w:proofErr w:type="gramEnd"/>
      <w:r w:rsidRPr="00F4286E">
        <w:rPr>
          <w:rFonts w:cs="Arial"/>
          <w:b/>
        </w:rPr>
        <w:t xml:space="preserve"> 2, três aspetos em que o culto calvinista e o culto católico se opõem.   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 xml:space="preserve">scolher três)                                   </w:t>
      </w:r>
    </w:p>
    <w:p w:rsidR="000A4235" w:rsidRPr="00F4286E" w:rsidRDefault="000A4235" w:rsidP="00F4286E">
      <w:pPr>
        <w:pStyle w:val="ListParagraph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 xml:space="preserve">Enquanto no </w:t>
      </w:r>
      <w:r w:rsidRPr="00F4286E">
        <w:rPr>
          <w:rFonts w:cs="Arial"/>
          <w:b/>
        </w:rPr>
        <w:t>Doc. 1</w:t>
      </w:r>
      <w:r w:rsidRPr="00F4286E">
        <w:rPr>
          <w:rFonts w:cs="Arial"/>
        </w:rPr>
        <w:t xml:space="preserve"> </w:t>
      </w:r>
      <w:proofErr w:type="gramStart"/>
      <w:r w:rsidRPr="00F4286E">
        <w:rPr>
          <w:rFonts w:cs="Arial"/>
        </w:rPr>
        <w:t>se</w:t>
      </w:r>
      <w:proofErr w:type="gramEnd"/>
      <w:r w:rsidRPr="00F4286E">
        <w:rPr>
          <w:rFonts w:cs="Arial"/>
        </w:rPr>
        <w:t xml:space="preserve"> mostra a simplicidade do templo calvinista, sem imagens nem mesmo a cruz, no </w:t>
      </w:r>
      <w:r w:rsidRPr="00F4286E">
        <w:rPr>
          <w:rFonts w:cs="Arial"/>
          <w:b/>
        </w:rPr>
        <w:t>Doc. 2</w:t>
      </w:r>
      <w:r w:rsidRPr="00F4286E">
        <w:rPr>
          <w:rFonts w:cs="Arial"/>
        </w:rPr>
        <w:t xml:space="preserve"> </w:t>
      </w:r>
      <w:proofErr w:type="gramStart"/>
      <w:r w:rsidRPr="00F4286E">
        <w:rPr>
          <w:rFonts w:cs="Arial"/>
        </w:rPr>
        <w:t>vê-se</w:t>
      </w:r>
      <w:proofErr w:type="gramEnd"/>
      <w:r w:rsidRPr="00F4286E">
        <w:rPr>
          <w:rFonts w:cs="Arial"/>
        </w:rPr>
        <w:t xml:space="preserve"> a sumptuosidade das igrejas católicas, decoradas com imagens de santos, da Virgem e de entidades angelicais, todas merecendo a veneração dos católicos, ao contrário </w:t>
      </w:r>
      <w:r w:rsidR="00C55AD0" w:rsidRPr="00F4286E">
        <w:rPr>
          <w:rFonts w:cs="Arial"/>
        </w:rPr>
        <w:t>dos calvinistas.</w:t>
      </w:r>
    </w:p>
    <w:p w:rsidR="000A4235" w:rsidRPr="00F4286E" w:rsidRDefault="00C55AD0" w:rsidP="00F4286E">
      <w:pPr>
        <w:pStyle w:val="ListParagraph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 xml:space="preserve">nquanto no </w:t>
      </w:r>
      <w:r w:rsidR="000A4235" w:rsidRPr="00F4286E">
        <w:rPr>
          <w:rFonts w:cs="Arial"/>
          <w:b/>
        </w:rPr>
        <w:t>Doc. 1</w:t>
      </w:r>
      <w:r w:rsidR="000A4235" w:rsidRPr="00F4286E">
        <w:rPr>
          <w:rFonts w:cs="Arial"/>
        </w:rPr>
        <w:t xml:space="preserve"> – </w:t>
      </w:r>
      <w:proofErr w:type="gramStart"/>
      <w:r w:rsidR="000A4235" w:rsidRPr="00F4286E">
        <w:rPr>
          <w:rFonts w:cs="Arial"/>
        </w:rPr>
        <w:t>culto</w:t>
      </w:r>
      <w:proofErr w:type="gramEnd"/>
      <w:r w:rsidR="000A4235" w:rsidRPr="00F4286E">
        <w:rPr>
          <w:rFonts w:cs="Arial"/>
        </w:rPr>
        <w:t xml:space="preserve"> calvinista – o pastor encontra-se entre os fiéis, não se distinguindo destes (sacerdócio universal), no </w:t>
      </w:r>
      <w:r w:rsidR="000A4235" w:rsidRPr="00F4286E">
        <w:rPr>
          <w:rFonts w:cs="Arial"/>
          <w:b/>
        </w:rPr>
        <w:t>Doc. 2</w:t>
      </w:r>
      <w:r w:rsidR="000A4235" w:rsidRPr="00F4286E">
        <w:rPr>
          <w:rFonts w:cs="Arial"/>
        </w:rPr>
        <w:t xml:space="preserve"> </w:t>
      </w:r>
      <w:r w:rsidRPr="00F4286E">
        <w:rPr>
          <w:rFonts w:cs="Arial"/>
        </w:rPr>
        <w:t xml:space="preserve">– </w:t>
      </w:r>
      <w:proofErr w:type="gramStart"/>
      <w:r w:rsidRPr="00F4286E">
        <w:rPr>
          <w:rFonts w:cs="Arial"/>
        </w:rPr>
        <w:t>culto</w:t>
      </w:r>
      <w:proofErr w:type="gramEnd"/>
      <w:r w:rsidRPr="00F4286E">
        <w:rPr>
          <w:rFonts w:cs="Arial"/>
        </w:rPr>
        <w:t xml:space="preserve"> católico – </w:t>
      </w:r>
      <w:r w:rsidR="000A4235" w:rsidRPr="00F4286E">
        <w:rPr>
          <w:rFonts w:cs="Arial"/>
        </w:rPr>
        <w:t>o sacerdote dirige a liturgia  em frente dos fiéis, dos quais se distingue pelos votos do celibato e pela formação espe</w:t>
      </w:r>
      <w:r w:rsidRPr="00F4286E">
        <w:rPr>
          <w:rFonts w:cs="Arial"/>
        </w:rPr>
        <w:t>cífica (hierarquia sacerdotal).</w:t>
      </w:r>
    </w:p>
    <w:p w:rsidR="000A4235" w:rsidRPr="00F4286E" w:rsidRDefault="00C55AD0" w:rsidP="00F4286E">
      <w:pPr>
        <w:pStyle w:val="ListParagraph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 xml:space="preserve">nquanto no culto calvinista a liturgia consta da leitura da Bíblia, traduzida nas línguas nacionais e apenas interpretada por Calvino, no culto católico a missa é celebrada em latim, e baseia-se em passagens da Bíblia, de que só se admite a versão latina e a interpretação do Papa, bem como nos ensinamentos da </w:t>
      </w:r>
      <w:r w:rsidR="0019063B" w:rsidRPr="00F4286E">
        <w:rPr>
          <w:rFonts w:cs="Arial"/>
        </w:rPr>
        <w:t>t</w:t>
      </w:r>
      <w:r w:rsidR="000A4235" w:rsidRPr="00F4286E">
        <w:rPr>
          <w:rFonts w:cs="Arial"/>
        </w:rPr>
        <w:t>radiç</w:t>
      </w:r>
      <w:r w:rsidRPr="00F4286E">
        <w:rPr>
          <w:rFonts w:cs="Arial"/>
        </w:rPr>
        <w:t xml:space="preserve">ão e nas decisões dos </w:t>
      </w:r>
      <w:r w:rsidR="0019063B" w:rsidRPr="00F4286E">
        <w:rPr>
          <w:rFonts w:cs="Arial"/>
        </w:rPr>
        <w:t>c</w:t>
      </w:r>
      <w:r w:rsidRPr="00F4286E">
        <w:rPr>
          <w:rFonts w:cs="Arial"/>
        </w:rPr>
        <w:t>oncílios.</w:t>
      </w:r>
    </w:p>
    <w:p w:rsidR="000A4235" w:rsidRPr="00F4286E" w:rsidRDefault="00C55AD0" w:rsidP="00F4286E">
      <w:pPr>
        <w:pStyle w:val="ListParagraph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>nquanto no culto calvinista existe a presença espiritual de Cristo na Eucaristia, no culto católico a presença do Corpo de Cristo é real na Eucaristia (milagre da transubstanciação), ocupando o lugar cimeiro, no sacrário, sobre o altar.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F4286E">
        <w:rPr>
          <w:rFonts w:cs="Arial"/>
        </w:rPr>
        <w:t xml:space="preserve"> </w:t>
      </w:r>
    </w:p>
    <w:p w:rsidR="000A4235" w:rsidRPr="00F4286E" w:rsidRDefault="000A4235" w:rsidP="00F4286E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t>Grupo II</w:t>
      </w:r>
    </w:p>
    <w:p w:rsidR="00F4286E" w:rsidRDefault="00F4286E" w:rsidP="00F4286E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252CE" w:rsidRPr="00F4286E" w:rsidRDefault="008252CE" w:rsidP="00F4286E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Associar os excertos do Doc. 1, citados na coluna A, aos princípios doutrinários do Luteranismo, que constam da coluna B.</w:t>
      </w:r>
    </w:p>
    <w:p w:rsidR="008252CE" w:rsidRPr="00B0568B" w:rsidRDefault="008252CE" w:rsidP="008138DA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</w:rPr>
      </w:pPr>
      <w:r w:rsidRPr="00B0568B">
        <w:rPr>
          <w:rFonts w:cs="Arial"/>
        </w:rPr>
        <w:t xml:space="preserve">a) </w:t>
      </w:r>
      <w:r w:rsidRPr="00B0568B">
        <w:rPr>
          <w:rFonts w:eastAsia="Calibri" w:cs="Arial"/>
          <w:lang w:eastAsia="en-US"/>
        </w:rPr>
        <w:t>3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b) </w:t>
      </w:r>
      <w:r w:rsidRPr="00B0568B">
        <w:rPr>
          <w:rFonts w:eastAsia="Calibri" w:cs="Arial"/>
          <w:lang w:eastAsia="en-US"/>
        </w:rPr>
        <w:t>4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c) </w:t>
      </w:r>
      <w:r w:rsidRPr="00B0568B">
        <w:rPr>
          <w:rFonts w:eastAsia="Calibri" w:cs="Arial"/>
          <w:lang w:eastAsia="en-US"/>
        </w:rPr>
        <w:t>7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d) </w:t>
      </w:r>
      <w:r w:rsidRPr="00B0568B">
        <w:rPr>
          <w:rFonts w:eastAsia="Calibri" w:cs="Arial"/>
          <w:lang w:eastAsia="en-US"/>
        </w:rPr>
        <w:t>6</w:t>
      </w: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Explicitar, com base no texto, dois aspetos da rutura doutrinária de Lutero, no que se refere à salvação da alma e às fontes d</w:t>
      </w:r>
      <w:r w:rsidR="0019063B" w:rsidRPr="00F4286E">
        <w:rPr>
          <w:rFonts w:cs="Arial"/>
          <w:b/>
        </w:rPr>
        <w:t>e</w:t>
      </w:r>
      <w:r w:rsidRPr="00F4286E">
        <w:rPr>
          <w:rFonts w:cs="Arial"/>
          <w:b/>
        </w:rPr>
        <w:t xml:space="preserve"> Fé.</w:t>
      </w:r>
    </w:p>
    <w:p w:rsidR="000A4235" w:rsidRPr="00F4286E" w:rsidRDefault="000A4235" w:rsidP="00F4286E">
      <w:pPr>
        <w:pStyle w:val="ListParagraph"/>
        <w:numPr>
          <w:ilvl w:val="0"/>
          <w:numId w:val="1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b/>
        </w:rPr>
        <w:lastRenderedPageBreak/>
        <w:t xml:space="preserve">Salvação da alma: </w:t>
      </w:r>
      <w:r w:rsidRPr="00F4286E">
        <w:rPr>
          <w:rFonts w:cs="Arial"/>
        </w:rPr>
        <w:t>Lutero defendia que a salvação da alma dependia da Fé (justificação pela Fé), sem necessidade de boas obras</w:t>
      </w:r>
      <w:r w:rsidR="0019063B" w:rsidRPr="00F4286E">
        <w:rPr>
          <w:rFonts w:cs="Arial"/>
        </w:rPr>
        <w:t>:</w:t>
      </w:r>
      <w:r w:rsidRPr="00F4286E">
        <w:rPr>
          <w:rFonts w:cs="Arial"/>
        </w:rPr>
        <w:t xml:space="preserve"> “A fé basta a um cristão. Ele não precisa de nenhuma obra para se justificar.” Já a doutrina católica defendia que, para a salvação da alma, as boas ações eram fundamentais juntamente com a Fé.</w:t>
      </w:r>
    </w:p>
    <w:p w:rsidR="000A4235" w:rsidRPr="00F4286E" w:rsidRDefault="000A4235" w:rsidP="00F4286E">
      <w:pPr>
        <w:pStyle w:val="ListParagraph"/>
        <w:numPr>
          <w:ilvl w:val="0"/>
          <w:numId w:val="15"/>
        </w:numPr>
        <w:spacing w:after="0" w:line="240" w:lineRule="auto"/>
        <w:ind w:left="142" w:right="-227" w:hanging="142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 Fontes de Fé: </w:t>
      </w:r>
      <w:r w:rsidRPr="00F4286E">
        <w:rPr>
          <w:rFonts w:cs="Arial"/>
        </w:rPr>
        <w:t>Lutero considerava a Bíblia como a única fonte e autoridade doutrinal pelo que “a alma pode prescindir de tudo, exceto da palavra de Deus… [</w:t>
      </w:r>
      <w:proofErr w:type="gramStart"/>
      <w:r w:rsidRPr="00F4286E">
        <w:rPr>
          <w:rFonts w:cs="Arial"/>
        </w:rPr>
        <w:t>que]</w:t>
      </w:r>
      <w:proofErr w:type="gramEnd"/>
      <w:r w:rsidRPr="00F4286E">
        <w:rPr>
          <w:rFonts w:cs="Arial"/>
        </w:rPr>
        <w:t>… Não é outra senão a pregação feita por Cristo, tal como a contém o Evangelho</w:t>
      </w:r>
      <w:r w:rsidR="00C55AD0" w:rsidRPr="00F4286E">
        <w:rPr>
          <w:rFonts w:cs="Arial"/>
        </w:rPr>
        <w:t>…</w:t>
      </w:r>
      <w:r w:rsidRPr="00F4286E">
        <w:rPr>
          <w:rFonts w:cs="Arial"/>
        </w:rPr>
        <w:t xml:space="preserve">” e rejeitava toda a </w:t>
      </w:r>
      <w:r w:rsidR="0019063B" w:rsidRPr="00F4286E">
        <w:rPr>
          <w:rFonts w:cs="Arial"/>
        </w:rPr>
        <w:t>t</w:t>
      </w:r>
      <w:r w:rsidRPr="00F4286E">
        <w:rPr>
          <w:rFonts w:cs="Arial"/>
        </w:rPr>
        <w:t xml:space="preserve">radição e decisões dos </w:t>
      </w:r>
      <w:r w:rsidR="0019063B" w:rsidRPr="00F4286E">
        <w:rPr>
          <w:rFonts w:cs="Arial"/>
        </w:rPr>
        <w:t>c</w:t>
      </w:r>
      <w:r w:rsidRPr="00F4286E">
        <w:rPr>
          <w:rFonts w:cs="Arial"/>
        </w:rPr>
        <w:t xml:space="preserve">oncílios (palavras humanas), porque o cristão “está desobrigado de todos os mandamentos e de todas as leis”. Já a doutrina católica considerava, como fontes de Fé, a Bíblia, os ensinamentos da </w:t>
      </w:r>
      <w:r w:rsidR="0019063B" w:rsidRPr="00F4286E">
        <w:rPr>
          <w:rFonts w:cs="Arial"/>
        </w:rPr>
        <w:t>tradição e as decisões dos c</w:t>
      </w:r>
      <w:r w:rsidRPr="00F4286E">
        <w:rPr>
          <w:rFonts w:cs="Arial"/>
        </w:rPr>
        <w:t>oncílios.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Explicar o argumento com que Lutero justifica a liberdade do Homem, apesar de já nascer predestinado. </w:t>
      </w:r>
    </w:p>
    <w:p w:rsidR="000A4235" w:rsidRPr="00F4286E" w:rsidRDefault="000A4235" w:rsidP="00F4286E">
      <w:pPr>
        <w:pStyle w:val="ListParagraph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F4286E">
        <w:rPr>
          <w:rFonts w:cs="Arial"/>
        </w:rPr>
        <w:t>Para Lutero, o Homem, apesar de predestinado, é livre porque não está obrigado ao cumprimento “de todos os mandamentos e de todas as leis” dos homens, bastando-lhe a Fé para se salvar.</w:t>
      </w:r>
    </w:p>
    <w:p w:rsidR="00C55AD0" w:rsidRPr="00F4286E" w:rsidRDefault="00C55AD0" w:rsidP="00F4286E">
      <w:pPr>
        <w:pStyle w:val="ListParagraph"/>
        <w:spacing w:after="0" w:line="240" w:lineRule="auto"/>
        <w:ind w:left="0" w:right="-227"/>
        <w:jc w:val="center"/>
        <w:rPr>
          <w:rFonts w:cs="Arial"/>
          <w:b/>
        </w:rPr>
      </w:pP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t>Grupo III</w:t>
      </w:r>
    </w:p>
    <w:p w:rsidR="00F4286E" w:rsidRDefault="00F4286E" w:rsidP="00F4286E">
      <w:pPr>
        <w:pStyle w:val="ListParagraph"/>
        <w:tabs>
          <w:tab w:val="left" w:pos="284"/>
          <w:tab w:val="left" w:pos="850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252CE" w:rsidRPr="00F4286E" w:rsidRDefault="008252CE" w:rsidP="00F4286E">
      <w:pPr>
        <w:pStyle w:val="ListParagraph"/>
        <w:tabs>
          <w:tab w:val="left" w:pos="284"/>
          <w:tab w:val="left" w:pos="850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A Reforma:</w:t>
      </w:r>
    </w:p>
    <w:p w:rsidR="008252CE" w:rsidRPr="00F4286E" w:rsidRDefault="008252CE" w:rsidP="00492CE6">
      <w:pPr>
        <w:spacing w:after="0" w:line="240" w:lineRule="auto"/>
        <w:ind w:left="142" w:right="-227" w:hanging="142"/>
        <w:rPr>
          <w:rFonts w:cs="Arial"/>
        </w:rPr>
      </w:pPr>
      <w:r w:rsidRPr="00B0568B">
        <w:rPr>
          <w:rFonts w:cs="Arial"/>
        </w:rPr>
        <w:t xml:space="preserve">c) </w:t>
      </w:r>
      <w:proofErr w:type="gramStart"/>
      <w:r w:rsidRPr="00B0568B">
        <w:rPr>
          <w:rFonts w:cs="Arial"/>
        </w:rPr>
        <w:t>foi</w:t>
      </w:r>
      <w:proofErr w:type="gramEnd"/>
      <w:r w:rsidRPr="00B0568B">
        <w:rPr>
          <w:rFonts w:cs="Arial"/>
        </w:rPr>
        <w:t xml:space="preserve"> cisma ocorrido na Igreja Católica durante a</w:t>
      </w:r>
      <w:r w:rsidRPr="00F4286E">
        <w:rPr>
          <w:rFonts w:cs="Arial"/>
        </w:rPr>
        <w:t xml:space="preserve"> primeira metade do século XVI.</w:t>
      </w: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252CE" w:rsidRPr="00F4286E" w:rsidRDefault="008252CE" w:rsidP="00F4286E">
      <w:pPr>
        <w:pStyle w:val="ListParagraph"/>
        <w:spacing w:after="0" w:line="240" w:lineRule="auto"/>
        <w:ind w:left="0" w:right="-227"/>
        <w:contextualSpacing w:val="0"/>
        <w:rPr>
          <w:rFonts w:cs="Arial"/>
          <w:b/>
        </w:rPr>
      </w:pPr>
      <w:r w:rsidRPr="00F4286E">
        <w:rPr>
          <w:rFonts w:cs="Arial"/>
          <w:b/>
        </w:rPr>
        <w:t>A Inquisição (Doc. 2):</w:t>
      </w:r>
    </w:p>
    <w:p w:rsidR="00C420B8" w:rsidRPr="00F4286E" w:rsidRDefault="00C420B8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B0568B">
        <w:rPr>
          <w:rFonts w:cs="Arial"/>
        </w:rPr>
        <w:t>d)  foi</w:t>
      </w:r>
      <w:proofErr w:type="gramEnd"/>
      <w:r w:rsidRPr="00B0568B">
        <w:rPr>
          <w:rFonts w:cs="Arial"/>
        </w:rPr>
        <w:t xml:space="preserve"> um tribunal da Igreja Católica, instituído no</w:t>
      </w:r>
      <w:r w:rsidRPr="00F4286E">
        <w:rPr>
          <w:rFonts w:cs="Arial"/>
        </w:rPr>
        <w:t xml:space="preserve"> século XIII, para combater e punir heresias, bruxaria e outras manifestações contrárias ao catolicismo.</w:t>
      </w:r>
    </w:p>
    <w:p w:rsidR="00F4286E" w:rsidRDefault="00F4286E" w:rsidP="00B0568B">
      <w:pPr>
        <w:pStyle w:val="ListParagraph"/>
        <w:spacing w:after="0" w:line="240" w:lineRule="auto"/>
        <w:ind w:left="0"/>
        <w:contextualSpacing w:val="0"/>
        <w:jc w:val="both"/>
        <w:rPr>
          <w:rFonts w:cs="BureauGrotCond-Bold"/>
          <w:b/>
          <w:bCs/>
          <w:color w:val="004F9F"/>
        </w:rPr>
      </w:pPr>
    </w:p>
    <w:p w:rsidR="00F4286E" w:rsidRDefault="00F4286E" w:rsidP="00B0568B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C420B8" w:rsidRPr="00F4286E" w:rsidRDefault="008138DA" w:rsidP="00B0568B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O </w:t>
      </w:r>
      <w:r w:rsidRPr="008138DA">
        <w:rPr>
          <w:rFonts w:cs="Arial"/>
          <w:b/>
          <w:i/>
        </w:rPr>
        <w:t>Í</w:t>
      </w:r>
      <w:r w:rsidR="00C420B8" w:rsidRPr="008138DA">
        <w:rPr>
          <w:rFonts w:cs="Arial"/>
          <w:b/>
          <w:i/>
        </w:rPr>
        <w:t>ndex</w:t>
      </w:r>
      <w:r w:rsidR="00C420B8" w:rsidRPr="00F4286E">
        <w:rPr>
          <w:rFonts w:cs="Arial"/>
          <w:b/>
        </w:rPr>
        <w:t xml:space="preserve"> (Doc. 3) era:</w:t>
      </w:r>
    </w:p>
    <w:p w:rsidR="00C420B8" w:rsidRPr="00B0568B" w:rsidRDefault="00B0568B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a) </w:t>
      </w:r>
      <w:proofErr w:type="gramStart"/>
      <w:r w:rsidR="00C420B8" w:rsidRPr="00B0568B">
        <w:rPr>
          <w:rFonts w:cs="Arial"/>
        </w:rPr>
        <w:t>uma</w:t>
      </w:r>
      <w:proofErr w:type="gramEnd"/>
      <w:r w:rsidR="00C420B8" w:rsidRPr="00B0568B">
        <w:rPr>
          <w:rFonts w:cs="Arial"/>
        </w:rPr>
        <w:t xml:space="preserve"> lista de obras de autores proibidos pela Igreja Católica com vista à prevenção e vigilância intelectual da Cristandade.</w:t>
      </w:r>
    </w:p>
    <w:p w:rsidR="00F4286E" w:rsidRDefault="00492CE6" w:rsidP="00F4286E">
      <w:pPr>
        <w:pStyle w:val="ListParagraph"/>
        <w:spacing w:after="0" w:line="240" w:lineRule="auto"/>
        <w:ind w:left="0" w:right="-227"/>
        <w:contextualSpacing w:val="0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3B31D1" wp14:editId="40F30667">
                <wp:simplePos x="0" y="0"/>
                <wp:positionH relativeFrom="page">
                  <wp:align>left</wp:align>
                </wp:positionH>
                <wp:positionV relativeFrom="paragraph">
                  <wp:posOffset>-539115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B753F" id="Rectangle 2" o:spid="_x0000_s1026" style="position:absolute;margin-left:0;margin-top:-42.45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" fillcolor="#7030a0" strokecolor="#243f60 [1604]" strokeweight="2pt">
                <w10:wrap anchorx="page"/>
              </v:rect>
            </w:pict>
          </mc:Fallback>
        </mc:AlternateContent>
      </w: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C420B8" w:rsidRPr="00F4286E" w:rsidRDefault="00C420B8" w:rsidP="00492CE6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O “catecismo” romano (linha </w:t>
      </w:r>
      <w:r w:rsidR="008138DA">
        <w:rPr>
          <w:rFonts w:cs="Arial"/>
          <w:b/>
        </w:rPr>
        <w:t>8</w:t>
      </w:r>
      <w:r w:rsidRPr="00F4286E">
        <w:rPr>
          <w:rFonts w:cs="Arial"/>
          <w:b/>
        </w:rPr>
        <w:t xml:space="preserve">, Doc. 1) a que o Concílio de Trento alude é: </w:t>
      </w:r>
    </w:p>
    <w:p w:rsidR="00C420B8" w:rsidRPr="00B0568B" w:rsidRDefault="00B0568B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b) </w:t>
      </w:r>
      <w:proofErr w:type="gramStart"/>
      <w:r w:rsidR="00C420B8" w:rsidRPr="00B0568B">
        <w:rPr>
          <w:rFonts w:cs="Arial"/>
        </w:rPr>
        <w:t>o</w:t>
      </w:r>
      <w:proofErr w:type="gramEnd"/>
      <w:r w:rsidR="00C420B8" w:rsidRPr="00B0568B">
        <w:rPr>
          <w:rFonts w:cs="Arial"/>
        </w:rPr>
        <w:t xml:space="preserve"> resumo sistemático das principais verdades da doutrina católica, redigida por S. Carlos Borromeu, no século XVI.</w:t>
      </w:r>
    </w:p>
    <w:p w:rsidR="00F4286E" w:rsidRDefault="00F4286E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Explicar a necessidade de confirmação, pelo Concílio de Trento, de três dos princípios católicos referidos no Doc. 1.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 de entre os seguintes)</w:t>
      </w:r>
    </w:p>
    <w:p w:rsidR="000A4235" w:rsidRPr="00F4286E" w:rsidRDefault="000A4235" w:rsidP="00F4286E">
      <w:pPr>
        <w:pStyle w:val="ListParagraph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Exclusividade papal na interpretação da Bíblia (“Que ninguém tenha a ousadia…</w:t>
      </w:r>
      <w:r w:rsidR="0019063B" w:rsidRPr="00F4286E">
        <w:rPr>
          <w:rFonts w:cs="Arial"/>
        </w:rPr>
        <w:t xml:space="preserve"> </w:t>
      </w:r>
      <w:r w:rsidRPr="00F4286E">
        <w:rPr>
          <w:rFonts w:cs="Arial"/>
        </w:rPr>
        <w:t xml:space="preserve">Madre </w:t>
      </w:r>
      <w:r w:rsidR="0019063B" w:rsidRPr="00F4286E">
        <w:rPr>
          <w:rFonts w:cs="Arial"/>
        </w:rPr>
        <w:t>I</w:t>
      </w:r>
      <w:r w:rsidRPr="00F4286E">
        <w:rPr>
          <w:rFonts w:cs="Arial"/>
        </w:rPr>
        <w:t xml:space="preserve">greja”): trata-se de uma resposta da Igreja Católica à separação protestante, condenando-a por ela proclamar que outros, que não o Papa, podiam ler </w:t>
      </w:r>
      <w:r w:rsidR="0019063B" w:rsidRPr="00F4286E">
        <w:rPr>
          <w:rFonts w:cs="Arial"/>
        </w:rPr>
        <w:t>e</w:t>
      </w:r>
      <w:r w:rsidRPr="00F4286E">
        <w:rPr>
          <w:rFonts w:cs="Arial"/>
        </w:rPr>
        <w:t xml:space="preserve"> interpretar a B</w:t>
      </w:r>
      <w:r w:rsidR="0019063B" w:rsidRPr="00F4286E">
        <w:rPr>
          <w:rFonts w:cs="Arial"/>
        </w:rPr>
        <w:t>íblia.</w:t>
      </w:r>
      <w:r w:rsidRPr="00F4286E">
        <w:rPr>
          <w:rFonts w:cs="Arial"/>
        </w:rPr>
        <w:t xml:space="preserve"> </w:t>
      </w:r>
    </w:p>
    <w:p w:rsidR="000A4235" w:rsidRPr="00F4286E" w:rsidRDefault="0019063B" w:rsidP="00F4286E">
      <w:pPr>
        <w:pStyle w:val="ListParagraph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P</w:t>
      </w:r>
      <w:r w:rsidR="000A4235" w:rsidRPr="00F4286E">
        <w:rPr>
          <w:rFonts w:cs="Arial"/>
        </w:rPr>
        <w:t>apel das obras na</w:t>
      </w:r>
      <w:r w:rsidR="008138DA">
        <w:rPr>
          <w:rFonts w:cs="Arial"/>
        </w:rPr>
        <w:t xml:space="preserve"> salvação das almas (“As obras </w:t>
      </w:r>
      <w:r w:rsidR="000A4235" w:rsidRPr="00F4286E">
        <w:rPr>
          <w:rFonts w:cs="Arial"/>
        </w:rPr>
        <w:t>a chegar ao Céu”): trata-se de uma resposta da Igreja Católica à separação protestante, condenando-a por ela proclamar que a Fé e/ou a predestinação b</w:t>
      </w:r>
      <w:r w:rsidRPr="00F4286E">
        <w:rPr>
          <w:rFonts w:cs="Arial"/>
        </w:rPr>
        <w:t>astam ao cristão para se salvar.</w:t>
      </w:r>
    </w:p>
    <w:p w:rsidR="000A4235" w:rsidRPr="00F4286E" w:rsidRDefault="0019063B" w:rsidP="00F4286E">
      <w:pPr>
        <w:pStyle w:val="ListParagraph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I</w:t>
      </w:r>
      <w:r w:rsidR="000A4235" w:rsidRPr="00F4286E">
        <w:rPr>
          <w:rFonts w:cs="Arial"/>
        </w:rPr>
        <w:t>mportância dos ritos religiosos (“A Igreja serve-se</w:t>
      </w:r>
      <w:r w:rsidR="008138DA">
        <w:rPr>
          <w:rFonts w:cs="Arial"/>
        </w:rPr>
        <w:t xml:space="preserve"> </w:t>
      </w:r>
      <w:r w:rsidR="000A4235" w:rsidRPr="00F4286E">
        <w:rPr>
          <w:rFonts w:cs="Arial"/>
        </w:rPr>
        <w:t xml:space="preserve">coisas divinas.”): trata-se de uma resposta da Igreja Católica ao despojamento dos templos protestantes, de onde as imagens de santos foram retiradas por </w:t>
      </w:r>
      <w:r w:rsidRPr="00F4286E">
        <w:rPr>
          <w:rFonts w:cs="Arial"/>
        </w:rPr>
        <w:t>não ser reconhecido o seu culto.</w:t>
      </w:r>
    </w:p>
    <w:p w:rsidR="000A4235" w:rsidRPr="00F4286E" w:rsidRDefault="0019063B" w:rsidP="00F4286E">
      <w:pPr>
        <w:pStyle w:val="ListParagraph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N</w:t>
      </w:r>
      <w:r w:rsidR="000A4235" w:rsidRPr="00F4286E">
        <w:rPr>
          <w:rFonts w:cs="Arial"/>
        </w:rPr>
        <w:t>ecessidade de manter o celibato e reformar o clero, acabando com as suas condutas erradas (“Os bispos devem…</w:t>
      </w:r>
      <w:r w:rsidRPr="00F4286E">
        <w:rPr>
          <w:rFonts w:cs="Arial"/>
        </w:rPr>
        <w:t xml:space="preserve"> </w:t>
      </w:r>
      <w:r w:rsidR="000A4235" w:rsidRPr="00F4286E">
        <w:rPr>
          <w:rFonts w:cs="Arial"/>
        </w:rPr>
        <w:t>ministros de Deus.”): trata-se de uma resposta da Igreja Católica ao sacerdócio universal dos Protestantes e às críticas feitas ao desregramento do clero católico.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C420B8" w:rsidRPr="00F4286E" w:rsidRDefault="00C420B8" w:rsidP="00F4286E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Nomear o “voto” professado pelos Jesuítas a que Santo Inácio de Loyola alude (Doc. 3). </w:t>
      </w:r>
    </w:p>
    <w:p w:rsidR="00C420B8" w:rsidRPr="00F4286E" w:rsidRDefault="00C420B8" w:rsidP="00F4286E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Obediência ao Papa</w:t>
      </w:r>
      <w:r w:rsidR="001253F2" w:rsidRPr="00F4286E">
        <w:rPr>
          <w:rFonts w:cs="Arial"/>
        </w:rPr>
        <w:t>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Identificar, no Doc. 3, duas das áreas de atuação da Companhia de Jesus.</w:t>
      </w:r>
    </w:p>
    <w:p w:rsidR="000A4235" w:rsidRPr="00F4286E" w:rsidRDefault="000A4235" w:rsidP="00F4286E">
      <w:pPr>
        <w:pStyle w:val="ListParagraph"/>
        <w:numPr>
          <w:ilvl w:val="0"/>
          <w:numId w:val="1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Missionação nos territórios</w:t>
      </w:r>
      <w:r w:rsidR="00C55AD0" w:rsidRPr="00F4286E">
        <w:rPr>
          <w:rFonts w:cs="Arial"/>
        </w:rPr>
        <w:t xml:space="preserve"> ultramarinos (os Novos Mundos).</w:t>
      </w:r>
    </w:p>
    <w:p w:rsidR="000A4235" w:rsidRPr="00F4286E" w:rsidRDefault="00C55AD0" w:rsidP="00F4286E">
      <w:pPr>
        <w:pStyle w:val="ListParagraph"/>
        <w:numPr>
          <w:ilvl w:val="0"/>
          <w:numId w:val="18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</w:rPr>
        <w:t>P</w:t>
      </w:r>
      <w:r w:rsidR="000A4235" w:rsidRPr="00F4286E">
        <w:rPr>
          <w:rFonts w:cs="Arial"/>
        </w:rPr>
        <w:t>regação: os sermões dos jesuítas permitiram o regresso ao catolicismo de “Luteranos”, isto é, a erradicação do protestantismo nalgumas regiões europeias.</w:t>
      </w:r>
    </w:p>
    <w:p w:rsidR="008138DA" w:rsidRDefault="008138DA" w:rsidP="00F4286E">
      <w:pPr>
        <w:pStyle w:val="ListParagraph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F4286E" w:rsidRDefault="00F4286E" w:rsidP="00F4286E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8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Referir, partindo do Doc. 4, dois efeitos da Contrarreforma na sociedade portuguesa.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 xml:space="preserve">scolher </w:t>
      </w:r>
      <w:r w:rsidR="008138DA">
        <w:rPr>
          <w:rFonts w:cs="Arial"/>
        </w:rPr>
        <w:t>dois</w:t>
      </w:r>
      <w:r w:rsidRPr="00F4286E">
        <w:rPr>
          <w:rFonts w:cs="Arial"/>
        </w:rPr>
        <w:t>)</w:t>
      </w:r>
    </w:p>
    <w:p w:rsidR="000A4235" w:rsidRPr="00F4286E" w:rsidRDefault="000A4235" w:rsidP="00F4286E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lastRenderedPageBreak/>
        <w:t>Atraso cultural e científico, com a censura estabelecida pelos Indexes sobre os livros humanísticos e científicos e as acusações a intelectuais por suspeita de heresia protestante;</w:t>
      </w:r>
    </w:p>
    <w:p w:rsidR="000A4235" w:rsidRPr="00F4286E" w:rsidRDefault="000A4235" w:rsidP="00F4286E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F4286E">
        <w:rPr>
          <w:rFonts w:cs="Arial"/>
        </w:rPr>
        <w:t>saída</w:t>
      </w:r>
      <w:proofErr w:type="gramEnd"/>
      <w:r w:rsidRPr="00F4286E">
        <w:rPr>
          <w:rFonts w:cs="Arial"/>
        </w:rPr>
        <w:t xml:space="preserve"> do país de muitos cristãos-novos (com suas fortunas e talentos), sobretudo homens de negócios, alvos da inveja, da intriga e da denúncia, com efeitos económicos nefastos; </w:t>
      </w:r>
    </w:p>
    <w:p w:rsidR="000A4235" w:rsidRPr="00F4286E" w:rsidRDefault="000A4235" w:rsidP="00F4286E">
      <w:pPr>
        <w:pStyle w:val="ListParagraph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F4286E">
        <w:rPr>
          <w:rFonts w:cs="Arial"/>
        </w:rPr>
        <w:t>imposição</w:t>
      </w:r>
      <w:proofErr w:type="gramEnd"/>
      <w:r w:rsidRPr="00F4286E">
        <w:rPr>
          <w:rFonts w:cs="Arial"/>
        </w:rPr>
        <w:t xml:space="preserve"> de severos padrões morais e doutrinais, modelando consciências e comportamentos dos portugueses, receosos da punição terrena e divina.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9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Desenvolver o tema:</w:t>
      </w:r>
    </w:p>
    <w:p w:rsidR="00F01A54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/>
        </w:rPr>
      </w:pPr>
      <w:r w:rsidRPr="00F4286E">
        <w:rPr>
          <w:rFonts w:cs="Arial"/>
          <w:i/>
        </w:rPr>
        <w:t>A resposta da Igreja Católica ao protestantismo no século XVI.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Cs/>
        </w:rPr>
      </w:pPr>
      <w:r w:rsidRPr="00B0568B">
        <w:rPr>
          <w:rFonts w:cs="Arial"/>
          <w:i/>
          <w:iCs/>
        </w:rPr>
        <w:t>Introdução:</w:t>
      </w:r>
      <w:r w:rsidRPr="00F4286E">
        <w:rPr>
          <w:rFonts w:cs="Arial"/>
          <w:iCs/>
        </w:rPr>
        <w:t xml:space="preserve"> Alusão à génese das Igrejas Protestantes (ou Reformadas) </w:t>
      </w:r>
      <w:r w:rsidR="0019063B" w:rsidRPr="00F4286E">
        <w:rPr>
          <w:rFonts w:cs="Arial"/>
          <w:iCs/>
        </w:rPr>
        <w:t>com Martinho Lutero (</w:t>
      </w:r>
      <w:proofErr w:type="spellStart"/>
      <w:r w:rsidR="0019063B" w:rsidRPr="00F4286E">
        <w:rPr>
          <w:rFonts w:cs="Arial"/>
          <w:iCs/>
        </w:rPr>
        <w:t>Lute</w:t>
      </w:r>
      <w:r w:rsidR="00492CE6">
        <w:rPr>
          <w:rFonts w:cs="Arial"/>
          <w:iCs/>
        </w:rPr>
        <w:t>-</w:t>
      </w:r>
      <w:r w:rsidR="0019063B" w:rsidRPr="00F4286E">
        <w:rPr>
          <w:rFonts w:cs="Arial"/>
          <w:iCs/>
        </w:rPr>
        <w:t>ranismo</w:t>
      </w:r>
      <w:proofErr w:type="spellEnd"/>
      <w:r w:rsidR="0019063B" w:rsidRPr="00F4286E">
        <w:rPr>
          <w:rFonts w:cs="Arial"/>
          <w:iCs/>
        </w:rPr>
        <w:t>), João</w:t>
      </w:r>
      <w:r w:rsidRPr="00F4286E">
        <w:rPr>
          <w:rFonts w:cs="Arial"/>
          <w:iCs/>
        </w:rPr>
        <w:t xml:space="preserve"> Calvino (Calvinismo) e Henrique VIII (Anglicanismo).</w:t>
      </w:r>
    </w:p>
    <w:p w:rsidR="00C55AD0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iCs/>
        </w:rPr>
      </w:pPr>
      <w:r w:rsidRPr="00F4286E">
        <w:rPr>
          <w:rFonts w:cs="Arial"/>
          <w:b/>
        </w:rPr>
        <w:t>Princípios protestantes que abalaram a Igreja Católica</w:t>
      </w:r>
      <w:r w:rsidRPr="00F4286E">
        <w:rPr>
          <w:rFonts w:cs="Arial"/>
          <w:iCs/>
        </w:rPr>
        <w:t xml:space="preserve"> 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três)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Salvação da alma: predestinação e justificação pela Fé, negando o valor das boas obras (</w:t>
      </w:r>
      <w:r w:rsidRPr="00F4286E">
        <w:rPr>
          <w:rFonts w:cs="Arial"/>
          <w:b/>
        </w:rPr>
        <w:t>Doc. 1</w:t>
      </w:r>
      <w:r w:rsidR="00C55AD0" w:rsidRPr="00F4286E">
        <w:rPr>
          <w:rFonts w:cs="Arial"/>
        </w:rPr>
        <w:t>).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Fontes de Fé: Bíblia, traduzida para língua nacional, negando toda a Tradição, as decisões dos Concílios e o monopólio papal na interpretação das Escrituras (</w:t>
      </w:r>
      <w:r w:rsidRPr="00F4286E">
        <w:rPr>
          <w:rFonts w:cs="Arial"/>
          <w:b/>
        </w:rPr>
        <w:t>Doc. 1</w:t>
      </w:r>
      <w:r w:rsidR="00C55AD0" w:rsidRPr="00F4286E">
        <w:rPr>
          <w:rFonts w:cs="Arial"/>
        </w:rPr>
        <w:t>).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Sacramentos: apenas Batismo e Eucaristia, em oposição aos 7 sacramentos da Igreja Católica (Batismo, Confirmação, Eucaristia, Matrimónio, Peni</w:t>
      </w:r>
      <w:r w:rsidR="00C55AD0" w:rsidRPr="00F4286E">
        <w:rPr>
          <w:rFonts w:cs="Arial"/>
        </w:rPr>
        <w:t>tência, Ordem e Extrema-Unção).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Abolição do culto da Virgem</w:t>
      </w:r>
      <w:r w:rsidR="00C55AD0" w:rsidRPr="00F4286E">
        <w:rPr>
          <w:rFonts w:cs="Arial"/>
        </w:rPr>
        <w:t xml:space="preserve"> e dos Santos (e das relíquias).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 xml:space="preserve">Defesa do </w:t>
      </w:r>
      <w:r w:rsidRPr="00F4286E">
        <w:rPr>
          <w:rFonts w:cs="Arial"/>
          <w:i/>
        </w:rPr>
        <w:t>sacerdócio universal</w:t>
      </w:r>
      <w:r w:rsidRPr="00F4286E">
        <w:rPr>
          <w:rFonts w:cs="Arial"/>
        </w:rPr>
        <w:t xml:space="preserve"> em oposição à hierarquia clerical da Igreja Católica, sendo negada a autoridade do Papa e abolido o celibato</w:t>
      </w:r>
      <w:r w:rsidR="00C55AD0" w:rsidRPr="00F4286E">
        <w:rPr>
          <w:rFonts w:cs="Arial"/>
        </w:rPr>
        <w:t>.</w:t>
      </w:r>
    </w:p>
    <w:p w:rsidR="000A4235" w:rsidRPr="00F4286E" w:rsidRDefault="000A4235" w:rsidP="00F4286E">
      <w:pPr>
        <w:pStyle w:val="ListParagraph"/>
        <w:numPr>
          <w:ilvl w:val="0"/>
          <w:numId w:val="20"/>
        </w:numPr>
        <w:spacing w:after="0" w:line="240" w:lineRule="auto"/>
        <w:ind w:left="142" w:right="-227" w:hanging="142"/>
        <w:contextualSpacing w:val="0"/>
        <w:jc w:val="both"/>
        <w:rPr>
          <w:rFonts w:cs="Arial"/>
          <w:b/>
        </w:rPr>
      </w:pPr>
      <w:r w:rsidRPr="00F4286E">
        <w:rPr>
          <w:rFonts w:cs="Arial"/>
        </w:rPr>
        <w:t>Primazia da Palavra sobre o rito, abolindo as cerimónias rituais (procissões, sermões, orações, gestos,…) e os ornamentos nos templos (</w:t>
      </w:r>
      <w:r w:rsidRPr="00F4286E">
        <w:rPr>
          <w:rFonts w:cs="Arial"/>
          <w:b/>
        </w:rPr>
        <w:t>Doc. 1)</w:t>
      </w:r>
      <w:r w:rsidRPr="00F4286E">
        <w:rPr>
          <w:rFonts w:cs="Arial"/>
        </w:rPr>
        <w:t>.</w:t>
      </w:r>
    </w:p>
    <w:p w:rsidR="00C55AD0" w:rsidRPr="00F4286E" w:rsidRDefault="000A4235" w:rsidP="00F4286E">
      <w:pPr>
        <w:pStyle w:val="ListParagraph"/>
        <w:spacing w:after="0" w:line="240" w:lineRule="auto"/>
        <w:ind w:left="0" w:right="-227"/>
        <w:jc w:val="both"/>
        <w:rPr>
          <w:rFonts w:cs="Arial"/>
          <w:iCs/>
        </w:rPr>
      </w:pPr>
      <w:r w:rsidRPr="00F4286E">
        <w:rPr>
          <w:rFonts w:cs="Arial"/>
          <w:b/>
        </w:rPr>
        <w:t>Meios de combate doutrinário e repressivo ao protestantismo</w:t>
      </w:r>
      <w:r w:rsidRPr="00F4286E">
        <w:rPr>
          <w:rFonts w:cs="Arial"/>
          <w:iCs/>
        </w:rPr>
        <w:t xml:space="preserve"> </w:t>
      </w:r>
    </w:p>
    <w:p w:rsidR="000A4235" w:rsidRPr="00F4286E" w:rsidRDefault="000A4235" w:rsidP="00F4286E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três)</w:t>
      </w:r>
    </w:p>
    <w:p w:rsidR="000A4235" w:rsidRPr="00F4286E" w:rsidRDefault="000A4235" w:rsidP="00F4286E">
      <w:pPr>
        <w:pStyle w:val="ListParagraph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u w:val="single"/>
        </w:rPr>
        <w:t>Concílio de Trento</w:t>
      </w:r>
      <w:r w:rsidRPr="00F4286E">
        <w:rPr>
          <w:rFonts w:cs="Arial"/>
        </w:rPr>
        <w:t xml:space="preserve">, para a reafirmação dos dogmas doutrinários e do culto tradicional </w:t>
      </w:r>
      <w:r w:rsidR="00C55AD0" w:rsidRPr="00F4286E">
        <w:rPr>
          <w:rFonts w:cs="Arial"/>
        </w:rPr>
        <w:t xml:space="preserve">e a </w:t>
      </w:r>
      <w:r w:rsidRPr="00F4286E">
        <w:rPr>
          <w:rFonts w:cs="Arial"/>
        </w:rPr>
        <w:t>reforma disciplinar do clero (</w:t>
      </w:r>
      <w:r w:rsidRPr="00F4286E">
        <w:rPr>
          <w:rFonts w:cs="Arial"/>
          <w:b/>
        </w:rPr>
        <w:t>Doc. 1</w:t>
      </w:r>
      <w:r w:rsidRPr="00F4286E">
        <w:rPr>
          <w:rFonts w:cs="Arial"/>
        </w:rPr>
        <w:t>)</w:t>
      </w:r>
      <w:r w:rsidR="00D0079E" w:rsidRPr="00F4286E">
        <w:rPr>
          <w:rFonts w:cs="Arial"/>
        </w:rPr>
        <w:t>.</w:t>
      </w:r>
    </w:p>
    <w:p w:rsidR="000A4235" w:rsidRPr="00F4286E" w:rsidRDefault="000A4235" w:rsidP="00F4286E">
      <w:pPr>
        <w:pStyle w:val="ListParagraph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u w:val="single"/>
        </w:rPr>
        <w:t>Tribunal da Inquisição</w:t>
      </w:r>
      <w:r w:rsidRPr="00F4286E">
        <w:rPr>
          <w:rFonts w:cs="Arial"/>
        </w:rPr>
        <w:t>, para julgar e condenar a heresia e a imoralidade (</w:t>
      </w:r>
      <w:r w:rsidRPr="00F4286E">
        <w:rPr>
          <w:rFonts w:cs="Arial"/>
          <w:b/>
        </w:rPr>
        <w:t>Doc. 2</w:t>
      </w:r>
      <w:r w:rsidR="00D0079E" w:rsidRPr="00F4286E">
        <w:rPr>
          <w:rFonts w:cs="Arial"/>
        </w:rPr>
        <w:t>).</w:t>
      </w:r>
    </w:p>
    <w:p w:rsidR="000A4235" w:rsidRPr="00F4286E" w:rsidRDefault="000A4235" w:rsidP="00F4286E">
      <w:pPr>
        <w:pStyle w:val="ListParagraph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  <w:u w:val="single"/>
        </w:rPr>
        <w:t>Índex</w:t>
      </w:r>
      <w:r w:rsidRPr="00F4286E">
        <w:rPr>
          <w:rFonts w:cs="Arial"/>
        </w:rPr>
        <w:t xml:space="preserve">, publicação periódica das obras de leitura proibida, como prevenção e vigilância </w:t>
      </w:r>
      <w:r w:rsidR="00D0079E" w:rsidRPr="00F4286E">
        <w:rPr>
          <w:rFonts w:cs="Arial"/>
        </w:rPr>
        <w:t>i</w:t>
      </w:r>
      <w:r w:rsidRPr="00F4286E">
        <w:rPr>
          <w:rFonts w:cs="Arial"/>
        </w:rPr>
        <w:t>ntelectual da Cristandade (</w:t>
      </w:r>
      <w:r w:rsidRPr="00F4286E">
        <w:rPr>
          <w:rFonts w:cs="Arial"/>
          <w:b/>
        </w:rPr>
        <w:t>Doc</w:t>
      </w:r>
      <w:bookmarkStart w:id="0" w:name="_GoBack"/>
      <w:bookmarkEnd w:id="0"/>
      <w:r w:rsidRPr="00F4286E">
        <w:rPr>
          <w:rFonts w:cs="Arial"/>
          <w:b/>
        </w:rPr>
        <w:t>. 4</w:t>
      </w:r>
      <w:r w:rsidRPr="00F4286E">
        <w:rPr>
          <w:rFonts w:cs="Arial"/>
        </w:rPr>
        <w:t>)</w:t>
      </w:r>
      <w:r w:rsidR="00D0079E" w:rsidRPr="00F4286E">
        <w:rPr>
          <w:rFonts w:cs="Arial"/>
        </w:rPr>
        <w:t>.</w:t>
      </w:r>
    </w:p>
    <w:p w:rsidR="000A4235" w:rsidRPr="00F4286E" w:rsidRDefault="000A4235" w:rsidP="00F4286E">
      <w:pPr>
        <w:pStyle w:val="ListParagraph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  <w:u w:val="single"/>
        </w:rPr>
        <w:t>Companhia de</w:t>
      </w:r>
      <w:r w:rsidR="00D0079E" w:rsidRPr="00F4286E">
        <w:rPr>
          <w:rFonts w:cs="Arial"/>
          <w:u w:val="single"/>
        </w:rPr>
        <w:t xml:space="preserve"> </w:t>
      </w:r>
      <w:r w:rsidRPr="00F4286E">
        <w:rPr>
          <w:rFonts w:cs="Arial"/>
          <w:u w:val="single"/>
        </w:rPr>
        <w:t>Jesus</w:t>
      </w:r>
      <w:r w:rsidRPr="00F4286E">
        <w:rPr>
          <w:rFonts w:cs="Arial"/>
        </w:rPr>
        <w:t xml:space="preserve"> para, através da pregação e do ensino, convencer os</w:t>
      </w:r>
      <w:r w:rsidR="007553E9" w:rsidRPr="00F4286E">
        <w:rPr>
          <w:rFonts w:cs="Arial"/>
        </w:rPr>
        <w:t xml:space="preserve"> protestantes </w:t>
      </w:r>
      <w:r w:rsidRPr="00F4286E">
        <w:rPr>
          <w:rFonts w:cs="Arial"/>
        </w:rPr>
        <w:t>e os recuperar para o catolicismo (</w:t>
      </w:r>
      <w:r w:rsidRPr="00F4286E">
        <w:rPr>
          <w:rFonts w:cs="Arial"/>
          <w:b/>
        </w:rPr>
        <w:t>Doc. 3</w:t>
      </w:r>
      <w:r w:rsidRPr="00F4286E">
        <w:rPr>
          <w:rFonts w:cs="Arial"/>
        </w:rPr>
        <w:t xml:space="preserve">). </w:t>
      </w:r>
    </w:p>
    <w:sectPr w:rsidR="000A4235" w:rsidRPr="00F4286E" w:rsidSect="00F4286E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EE6" w:rsidRDefault="00A12EE6" w:rsidP="000E79C7">
      <w:pPr>
        <w:spacing w:after="0" w:line="240" w:lineRule="auto"/>
      </w:pPr>
      <w:r>
        <w:separator/>
      </w:r>
    </w:p>
  </w:endnote>
  <w:endnote w:type="continuationSeparator" w:id="0">
    <w:p w:rsidR="00A12EE6" w:rsidRDefault="00A12EE6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AD0" w:rsidRPr="008138DA" w:rsidRDefault="008138DA" w:rsidP="008138DA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492CE6">
      <w:rPr>
        <w:i/>
        <w:sz w:val="16"/>
      </w:rPr>
      <w:t>,</w:t>
    </w:r>
    <w:r>
      <w:rPr>
        <w:i/>
        <w:sz w:val="16"/>
      </w:rPr>
      <w:t xml:space="preserve"> </w:t>
    </w:r>
    <w:r w:rsidR="00B0568B">
      <w:rPr>
        <w:i/>
        <w:sz w:val="16"/>
      </w:rPr>
      <w:t xml:space="preserve">10.º ano </w:t>
    </w:r>
    <w:r>
      <w:rPr>
        <w:i/>
        <w:sz w:val="16"/>
      </w:rPr>
      <w:t>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EE6" w:rsidRDefault="00A12EE6" w:rsidP="000E79C7">
      <w:pPr>
        <w:spacing w:after="0" w:line="240" w:lineRule="auto"/>
      </w:pPr>
      <w:r>
        <w:separator/>
      </w:r>
    </w:p>
  </w:footnote>
  <w:footnote w:type="continuationSeparator" w:id="0">
    <w:p w:rsidR="00A12EE6" w:rsidRDefault="00A12EE6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3159E"/>
    <w:multiLevelType w:val="hybridMultilevel"/>
    <w:tmpl w:val="B43E32DC"/>
    <w:lvl w:ilvl="0" w:tplc="99E69A04">
      <w:start w:val="1"/>
      <w:numFmt w:val="lowerLetter"/>
      <w:lvlText w:val="%1)"/>
      <w:lvlJc w:val="left"/>
      <w:pPr>
        <w:ind w:left="129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18" w:hanging="360"/>
      </w:pPr>
    </w:lvl>
    <w:lvl w:ilvl="2" w:tplc="0816001B" w:tentative="1">
      <w:start w:val="1"/>
      <w:numFmt w:val="lowerRoman"/>
      <w:lvlText w:val="%3."/>
      <w:lvlJc w:val="right"/>
      <w:pPr>
        <w:ind w:left="2738" w:hanging="180"/>
      </w:pPr>
    </w:lvl>
    <w:lvl w:ilvl="3" w:tplc="0816000F" w:tentative="1">
      <w:start w:val="1"/>
      <w:numFmt w:val="decimal"/>
      <w:lvlText w:val="%4."/>
      <w:lvlJc w:val="left"/>
      <w:pPr>
        <w:ind w:left="3458" w:hanging="360"/>
      </w:pPr>
    </w:lvl>
    <w:lvl w:ilvl="4" w:tplc="08160019" w:tentative="1">
      <w:start w:val="1"/>
      <w:numFmt w:val="lowerLetter"/>
      <w:lvlText w:val="%5."/>
      <w:lvlJc w:val="left"/>
      <w:pPr>
        <w:ind w:left="4178" w:hanging="360"/>
      </w:pPr>
    </w:lvl>
    <w:lvl w:ilvl="5" w:tplc="0816001B" w:tentative="1">
      <w:start w:val="1"/>
      <w:numFmt w:val="lowerRoman"/>
      <w:lvlText w:val="%6."/>
      <w:lvlJc w:val="right"/>
      <w:pPr>
        <w:ind w:left="4898" w:hanging="180"/>
      </w:pPr>
    </w:lvl>
    <w:lvl w:ilvl="6" w:tplc="0816000F" w:tentative="1">
      <w:start w:val="1"/>
      <w:numFmt w:val="decimal"/>
      <w:lvlText w:val="%7."/>
      <w:lvlJc w:val="left"/>
      <w:pPr>
        <w:ind w:left="5618" w:hanging="360"/>
      </w:pPr>
    </w:lvl>
    <w:lvl w:ilvl="7" w:tplc="08160019" w:tentative="1">
      <w:start w:val="1"/>
      <w:numFmt w:val="lowerLetter"/>
      <w:lvlText w:val="%8."/>
      <w:lvlJc w:val="left"/>
      <w:pPr>
        <w:ind w:left="6338" w:hanging="360"/>
      </w:pPr>
    </w:lvl>
    <w:lvl w:ilvl="8" w:tplc="0816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CE55217"/>
    <w:multiLevelType w:val="hybridMultilevel"/>
    <w:tmpl w:val="5074C6AC"/>
    <w:lvl w:ilvl="0" w:tplc="52F274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0F7B1F2E"/>
    <w:multiLevelType w:val="hybridMultilevel"/>
    <w:tmpl w:val="5784F1F6"/>
    <w:lvl w:ilvl="0" w:tplc="238AC850">
      <w:start w:val="1"/>
      <w:numFmt w:val="lowerLetter"/>
      <w:lvlText w:val="%1)"/>
      <w:lvlJc w:val="left"/>
      <w:pPr>
        <w:ind w:left="7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774CA"/>
    <w:multiLevelType w:val="hybridMultilevel"/>
    <w:tmpl w:val="7CBE225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A7954"/>
    <w:multiLevelType w:val="hybridMultilevel"/>
    <w:tmpl w:val="C3B825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2D7B03"/>
    <w:multiLevelType w:val="hybridMultilevel"/>
    <w:tmpl w:val="C50288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F7937"/>
    <w:multiLevelType w:val="hybridMultilevel"/>
    <w:tmpl w:val="E5ACBC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2D139D"/>
    <w:multiLevelType w:val="hybridMultilevel"/>
    <w:tmpl w:val="F1260798"/>
    <w:lvl w:ilvl="0" w:tplc="978699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D41E08"/>
    <w:multiLevelType w:val="hybridMultilevel"/>
    <w:tmpl w:val="B8E82F1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6F7442"/>
    <w:multiLevelType w:val="hybridMultilevel"/>
    <w:tmpl w:val="B84CD4D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84582A"/>
    <w:multiLevelType w:val="multilevel"/>
    <w:tmpl w:val="A2D2EBE2"/>
    <w:lvl w:ilvl="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2CA0B16"/>
    <w:multiLevelType w:val="hybridMultilevel"/>
    <w:tmpl w:val="1D687C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54B5A"/>
    <w:multiLevelType w:val="hybridMultilevel"/>
    <w:tmpl w:val="085C30C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D268DF"/>
    <w:multiLevelType w:val="hybridMultilevel"/>
    <w:tmpl w:val="0428E70A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B114FA"/>
    <w:multiLevelType w:val="hybridMultilevel"/>
    <w:tmpl w:val="53DEBAE4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EFC5E6C"/>
    <w:multiLevelType w:val="hybridMultilevel"/>
    <w:tmpl w:val="2542A4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4A5CBD"/>
    <w:multiLevelType w:val="hybridMultilevel"/>
    <w:tmpl w:val="192E47AA"/>
    <w:lvl w:ilvl="0" w:tplc="49A2239C">
      <w:start w:val="1"/>
      <w:numFmt w:val="decimal"/>
      <w:lvlText w:val="%1."/>
      <w:lvlJc w:val="left"/>
      <w:pPr>
        <w:ind w:left="410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73627"/>
    <w:multiLevelType w:val="hybridMultilevel"/>
    <w:tmpl w:val="4B5A1D98"/>
    <w:lvl w:ilvl="0" w:tplc="C99E4232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212255"/>
    <w:multiLevelType w:val="hybridMultilevel"/>
    <w:tmpl w:val="4A028C7C"/>
    <w:lvl w:ilvl="0" w:tplc="E87EDBD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5C33FDD"/>
    <w:multiLevelType w:val="hybridMultilevel"/>
    <w:tmpl w:val="71486C3C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7">
    <w:nsid w:val="6A185E08"/>
    <w:multiLevelType w:val="hybridMultilevel"/>
    <w:tmpl w:val="3E5818F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8C0ADC"/>
    <w:multiLevelType w:val="hybridMultilevel"/>
    <w:tmpl w:val="0F0E0F9E"/>
    <w:lvl w:ilvl="0" w:tplc="67FA6E9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57B4BA1"/>
    <w:multiLevelType w:val="hybridMultilevel"/>
    <w:tmpl w:val="3CC2499A"/>
    <w:lvl w:ilvl="0" w:tplc="EBA0036E">
      <w:start w:val="1"/>
      <w:numFmt w:val="lowerLetter"/>
      <w:lvlText w:val="%1)"/>
      <w:lvlJc w:val="left"/>
      <w:pPr>
        <w:ind w:left="7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1">
    <w:nsid w:val="76A61DE8"/>
    <w:multiLevelType w:val="hybridMultilevel"/>
    <w:tmpl w:val="2DC446B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AB54620"/>
    <w:multiLevelType w:val="hybridMultilevel"/>
    <w:tmpl w:val="22022E4C"/>
    <w:lvl w:ilvl="0" w:tplc="9228A3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"/>
  </w:num>
  <w:num w:numId="4">
    <w:abstractNumId w:val="22"/>
  </w:num>
  <w:num w:numId="5">
    <w:abstractNumId w:val="24"/>
  </w:num>
  <w:num w:numId="6">
    <w:abstractNumId w:val="33"/>
  </w:num>
  <w:num w:numId="7">
    <w:abstractNumId w:val="34"/>
  </w:num>
  <w:num w:numId="8">
    <w:abstractNumId w:val="3"/>
  </w:num>
  <w:num w:numId="9">
    <w:abstractNumId w:val="6"/>
  </w:num>
  <w:num w:numId="10">
    <w:abstractNumId w:val="26"/>
  </w:num>
  <w:num w:numId="11">
    <w:abstractNumId w:val="35"/>
  </w:num>
  <w:num w:numId="12">
    <w:abstractNumId w:val="5"/>
  </w:num>
  <w:num w:numId="13">
    <w:abstractNumId w:val="28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33"/>
  </w:num>
  <w:num w:numId="17">
    <w:abstractNumId w:val="11"/>
  </w:num>
  <w:num w:numId="18">
    <w:abstractNumId w:val="14"/>
  </w:num>
  <w:num w:numId="19">
    <w:abstractNumId w:val="10"/>
  </w:num>
  <w:num w:numId="20">
    <w:abstractNumId w:val="13"/>
  </w:num>
  <w:num w:numId="21">
    <w:abstractNumId w:val="11"/>
  </w:num>
  <w:num w:numId="22">
    <w:abstractNumId w:val="16"/>
  </w:num>
  <w:num w:numId="23">
    <w:abstractNumId w:val="7"/>
  </w:num>
  <w:num w:numId="24">
    <w:abstractNumId w:val="17"/>
  </w:num>
  <w:num w:numId="25">
    <w:abstractNumId w:val="20"/>
  </w:num>
  <w:num w:numId="26">
    <w:abstractNumId w:val="32"/>
  </w:num>
  <w:num w:numId="27">
    <w:abstractNumId w:val="2"/>
  </w:num>
  <w:num w:numId="28">
    <w:abstractNumId w:val="21"/>
  </w:num>
  <w:num w:numId="29">
    <w:abstractNumId w:val="0"/>
  </w:num>
  <w:num w:numId="30">
    <w:abstractNumId w:val="19"/>
  </w:num>
  <w:num w:numId="31">
    <w:abstractNumId w:val="25"/>
  </w:num>
  <w:num w:numId="32">
    <w:abstractNumId w:val="18"/>
  </w:num>
  <w:num w:numId="33">
    <w:abstractNumId w:val="8"/>
  </w:num>
  <w:num w:numId="34">
    <w:abstractNumId w:val="12"/>
  </w:num>
  <w:num w:numId="35">
    <w:abstractNumId w:val="31"/>
  </w:num>
  <w:num w:numId="36">
    <w:abstractNumId w:val="30"/>
  </w:num>
  <w:num w:numId="37">
    <w:abstractNumId w:val="9"/>
  </w:num>
  <w:num w:numId="38">
    <w:abstractNumId w:val="4"/>
  </w:num>
  <w:num w:numId="39">
    <w:abstractNumId w:val="27"/>
  </w:num>
  <w:num w:numId="40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A4235"/>
    <w:rsid w:val="000B1E99"/>
    <w:rsid w:val="000B205E"/>
    <w:rsid w:val="000B2D33"/>
    <w:rsid w:val="000E32E2"/>
    <w:rsid w:val="000E79C7"/>
    <w:rsid w:val="000F5640"/>
    <w:rsid w:val="00116AA0"/>
    <w:rsid w:val="001253F2"/>
    <w:rsid w:val="00126549"/>
    <w:rsid w:val="00130E0D"/>
    <w:rsid w:val="001402E0"/>
    <w:rsid w:val="00142F0D"/>
    <w:rsid w:val="0014593A"/>
    <w:rsid w:val="00165A29"/>
    <w:rsid w:val="0019063B"/>
    <w:rsid w:val="0019113C"/>
    <w:rsid w:val="00193006"/>
    <w:rsid w:val="00193F33"/>
    <w:rsid w:val="001A1F61"/>
    <w:rsid w:val="001B463E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4DB7"/>
    <w:rsid w:val="002E6D52"/>
    <w:rsid w:val="003223CE"/>
    <w:rsid w:val="003345EF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F58FB"/>
    <w:rsid w:val="003F78C3"/>
    <w:rsid w:val="004070C5"/>
    <w:rsid w:val="00415A12"/>
    <w:rsid w:val="00434397"/>
    <w:rsid w:val="00453B4D"/>
    <w:rsid w:val="0045694E"/>
    <w:rsid w:val="00473EEF"/>
    <w:rsid w:val="00492CE6"/>
    <w:rsid w:val="004A3E7E"/>
    <w:rsid w:val="004B371F"/>
    <w:rsid w:val="004F4BC2"/>
    <w:rsid w:val="005153A8"/>
    <w:rsid w:val="00534242"/>
    <w:rsid w:val="00573F66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553E9"/>
    <w:rsid w:val="007721AF"/>
    <w:rsid w:val="00776096"/>
    <w:rsid w:val="007975E6"/>
    <w:rsid w:val="007B7441"/>
    <w:rsid w:val="007D235A"/>
    <w:rsid w:val="007D3B84"/>
    <w:rsid w:val="007D7C40"/>
    <w:rsid w:val="00801F05"/>
    <w:rsid w:val="008138DA"/>
    <w:rsid w:val="008240AE"/>
    <w:rsid w:val="00824F46"/>
    <w:rsid w:val="008252CE"/>
    <w:rsid w:val="00832E41"/>
    <w:rsid w:val="008330DA"/>
    <w:rsid w:val="00835912"/>
    <w:rsid w:val="00864AAD"/>
    <w:rsid w:val="00864C36"/>
    <w:rsid w:val="00875F52"/>
    <w:rsid w:val="0089076E"/>
    <w:rsid w:val="008977F2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34202"/>
    <w:rsid w:val="00954AAF"/>
    <w:rsid w:val="009637FF"/>
    <w:rsid w:val="00981542"/>
    <w:rsid w:val="009825A5"/>
    <w:rsid w:val="009955F8"/>
    <w:rsid w:val="009B5874"/>
    <w:rsid w:val="009C6F8B"/>
    <w:rsid w:val="009D38CA"/>
    <w:rsid w:val="009D3CAA"/>
    <w:rsid w:val="009E2755"/>
    <w:rsid w:val="00A12EE6"/>
    <w:rsid w:val="00A2470B"/>
    <w:rsid w:val="00A317AF"/>
    <w:rsid w:val="00A719D1"/>
    <w:rsid w:val="00A75A74"/>
    <w:rsid w:val="00A8431E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0568B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20B8"/>
    <w:rsid w:val="00C47257"/>
    <w:rsid w:val="00C55AD0"/>
    <w:rsid w:val="00C64585"/>
    <w:rsid w:val="00C77A04"/>
    <w:rsid w:val="00C8295C"/>
    <w:rsid w:val="00C93971"/>
    <w:rsid w:val="00CB3F74"/>
    <w:rsid w:val="00CC04E2"/>
    <w:rsid w:val="00D0079E"/>
    <w:rsid w:val="00D010ED"/>
    <w:rsid w:val="00D16EB3"/>
    <w:rsid w:val="00D337CD"/>
    <w:rsid w:val="00D36104"/>
    <w:rsid w:val="00D4299C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775B4"/>
    <w:rsid w:val="00E87265"/>
    <w:rsid w:val="00E87B59"/>
    <w:rsid w:val="00E90593"/>
    <w:rsid w:val="00E92AF1"/>
    <w:rsid w:val="00E94520"/>
    <w:rsid w:val="00E955DF"/>
    <w:rsid w:val="00E965C8"/>
    <w:rsid w:val="00EA1DBC"/>
    <w:rsid w:val="00EA27F5"/>
    <w:rsid w:val="00EA5BA2"/>
    <w:rsid w:val="00EA607B"/>
    <w:rsid w:val="00EB3970"/>
    <w:rsid w:val="00ED6641"/>
    <w:rsid w:val="00ED774A"/>
    <w:rsid w:val="00EF068C"/>
    <w:rsid w:val="00EF301F"/>
    <w:rsid w:val="00F01A54"/>
    <w:rsid w:val="00F13ED6"/>
    <w:rsid w:val="00F14DF5"/>
    <w:rsid w:val="00F427E5"/>
    <w:rsid w:val="00F4286E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  <w:rsid w:val="00FF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EA641-3F1C-4C2D-A16D-F35EABD2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D29A7-47E1-4988-8B9A-1B1A3E9B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1177</Words>
  <Characters>6362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5</cp:revision>
  <cp:lastPrinted>2013-08-09T16:00:00Z</cp:lastPrinted>
  <dcterms:created xsi:type="dcterms:W3CDTF">2015-05-16T22:39:00Z</dcterms:created>
  <dcterms:modified xsi:type="dcterms:W3CDTF">2015-06-15T15:24:00Z</dcterms:modified>
</cp:coreProperties>
</file>