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4D7" w:rsidRDefault="006F24D7" w:rsidP="006F24D7">
      <w:pPr>
        <w:spacing w:after="0" w:line="240" w:lineRule="auto"/>
        <w:ind w:left="720"/>
        <w:rPr>
          <w:rFonts w:ascii="Arial" w:hAnsi="Arial" w:cs="Arial"/>
          <w:b/>
          <w:sz w:val="20"/>
          <w:szCs w:val="20"/>
        </w:rPr>
      </w:pPr>
    </w:p>
    <w:p w:rsidR="006F24D7" w:rsidRPr="000F568B" w:rsidRDefault="006F24D7" w:rsidP="006F24D7">
      <w:pPr>
        <w:tabs>
          <w:tab w:val="left" w:pos="6660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</w:rPr>
        <w:t>TESTE 4 – CRITÉRIOS ESPECÍFICOS DE CLASSIFICAÇÃO</w:t>
      </w:r>
    </w:p>
    <w:p w:rsidR="006F24D7" w:rsidRPr="00146EE9" w:rsidRDefault="006F24D7" w:rsidP="006F24D7">
      <w:pPr>
        <w:spacing w:after="0" w:line="240" w:lineRule="auto"/>
        <w:ind w:left="720"/>
        <w:rPr>
          <w:rFonts w:ascii="Arial" w:hAnsi="Arial" w:cs="Arial"/>
          <w:b/>
          <w:sz w:val="20"/>
          <w:szCs w:val="20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CF7AE6" w:rsidRPr="00146EE9" w:rsidTr="00CF7AE6">
        <w:trPr>
          <w:trHeight w:val="1150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CF7AE6" w:rsidRPr="00146EE9" w:rsidRDefault="00CF7AE6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CF7AE6" w:rsidRPr="00146EE9" w:rsidRDefault="00CF7AE6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CF7AE6" w:rsidRPr="00146EE9" w:rsidRDefault="00CF7AE6" w:rsidP="00CF7AE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CF7AE6" w:rsidRPr="00146EE9" w:rsidRDefault="00CF7AE6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F24D7" w:rsidRPr="00146EE9" w:rsidTr="00CF7AE6">
        <w:tc>
          <w:tcPr>
            <w:tcW w:w="540" w:type="dxa"/>
            <w:vMerge w:val="restart"/>
          </w:tcPr>
          <w:p w:rsidR="006F24D7" w:rsidRP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I.1</w:t>
            </w:r>
            <w:r w:rsidR="00B10DB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Apresentação clara de três </w:t>
            </w:r>
            <w:r w:rsidR="00B10DB0">
              <w:rPr>
                <w:rFonts w:ascii="Arial" w:hAnsi="Arial" w:cs="Arial"/>
                <w:sz w:val="20"/>
                <w:szCs w:val="20"/>
              </w:rPr>
              <w:t>fa</w:t>
            </w:r>
            <w:r>
              <w:rPr>
                <w:rFonts w:ascii="Arial" w:hAnsi="Arial" w:cs="Arial"/>
                <w:sz w:val="20"/>
                <w:szCs w:val="20"/>
              </w:rPr>
              <w:t xml:space="preserve">tores </w:t>
            </w:r>
            <w:r w:rsidR="00B10DB0">
              <w:rPr>
                <w:rFonts w:ascii="Arial" w:hAnsi="Arial" w:cs="Arial"/>
                <w:sz w:val="20"/>
                <w:szCs w:val="20"/>
              </w:rPr>
              <w:t>que levaram o p</w:t>
            </w:r>
            <w:r w:rsidR="00CF7AE6">
              <w:rPr>
                <w:rFonts w:ascii="Arial" w:hAnsi="Arial" w:cs="Arial"/>
                <w:sz w:val="20"/>
                <w:szCs w:val="20"/>
              </w:rPr>
              <w:t>apa a reconhecer Portugal como Reino, de entre os seguintes:</w:t>
            </w:r>
          </w:p>
          <w:p w:rsidR="006F24D7" w:rsidRPr="00146EE9" w:rsidRDefault="006F24D7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- D. Afonso Henriques foi considerado em bom príncipe católico;</w:t>
            </w:r>
          </w:p>
          <w:p w:rsidR="006F24D7" w:rsidRPr="00146EE9" w:rsidRDefault="00CF7AE6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eve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um papel importante para a difusão da fé cristã;</w:t>
            </w:r>
          </w:p>
          <w:p w:rsidR="006F24D7" w:rsidRPr="00146EE9" w:rsidRDefault="00CF7AE6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ombateu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os muçulmanos;</w:t>
            </w:r>
          </w:p>
          <w:p w:rsidR="006F24D7" w:rsidRPr="00146EE9" w:rsidRDefault="00CF7AE6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xpandiu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o território sob domínio cristão.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completa do documento, por referência ao solicitado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6F24D7" w:rsidRPr="00146EE9" w:rsidTr="00CF7AE6">
        <w:trPr>
          <w:trHeight w:val="321"/>
        </w:trPr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Apr</w:t>
            </w:r>
            <w:r w:rsidR="00CF7AE6">
              <w:rPr>
                <w:rFonts w:ascii="Arial" w:hAnsi="Arial" w:cs="Arial"/>
                <w:sz w:val="20"/>
                <w:szCs w:val="20"/>
              </w:rPr>
              <w:t>esentação de dois dos motivos</w:t>
            </w:r>
            <w:r w:rsidRPr="00146EE9">
              <w:rPr>
                <w:rFonts w:ascii="Arial" w:hAnsi="Arial" w:cs="Arial"/>
                <w:sz w:val="20"/>
                <w:szCs w:val="20"/>
              </w:rPr>
              <w:t xml:space="preserve"> referidos no nível superior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Apresentação </w:t>
            </w:r>
            <w:r w:rsidR="00CF7AE6">
              <w:rPr>
                <w:rFonts w:ascii="Arial" w:hAnsi="Arial" w:cs="Arial"/>
                <w:sz w:val="20"/>
                <w:szCs w:val="20"/>
              </w:rPr>
              <w:t>genérica de aspe</w:t>
            </w:r>
            <w:r w:rsidRPr="00146EE9">
              <w:rPr>
                <w:rFonts w:ascii="Arial" w:hAnsi="Arial" w:cs="Arial"/>
                <w:sz w:val="20"/>
                <w:szCs w:val="20"/>
              </w:rPr>
              <w:t>tos referidos no nível superior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incipiente do documento, por referência ao solicitado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6F24D7" w:rsidRDefault="006F24D7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Default="00CF7AE6" w:rsidP="00CF7AE6">
      <w:pPr>
        <w:rPr>
          <w:rFonts w:ascii="Arial" w:hAnsi="Arial" w:cs="Arial"/>
          <w:b/>
          <w:sz w:val="20"/>
          <w:szCs w:val="20"/>
        </w:rPr>
      </w:pPr>
    </w:p>
    <w:p w:rsidR="00CF7AE6" w:rsidRPr="00146EE9" w:rsidRDefault="00B10DB0" w:rsidP="00CF7AE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95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6687"/>
        <w:gridCol w:w="673"/>
        <w:gridCol w:w="567"/>
        <w:gridCol w:w="560"/>
      </w:tblGrid>
      <w:tr w:rsidR="00CF7AE6" w:rsidRPr="00146EE9" w:rsidTr="00CF7AE6">
        <w:trPr>
          <w:trHeight w:val="1150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CF7AE6" w:rsidRPr="00146EE9" w:rsidRDefault="00CF7AE6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Descritores do nível de desempenho no domínio </w:t>
            </w:r>
          </w:p>
          <w:p w:rsidR="00CF7AE6" w:rsidRPr="00146EE9" w:rsidRDefault="00CF7AE6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CF7AE6" w:rsidRPr="00146EE9" w:rsidRDefault="00CF7AE6" w:rsidP="00CF7AE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CF7AE6" w:rsidRPr="00146EE9" w:rsidRDefault="00CF7AE6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673" w:type="dxa"/>
          </w:tcPr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60" w:type="dxa"/>
          </w:tcPr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F24D7" w:rsidRPr="00146EE9" w:rsidTr="00CF7AE6">
        <w:tc>
          <w:tcPr>
            <w:tcW w:w="540" w:type="dxa"/>
            <w:vMerge w:val="restart"/>
          </w:tcPr>
          <w:p w:rsidR="006F24D7" w:rsidRP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I.2</w:t>
            </w:r>
            <w:r w:rsidR="00B10DB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87" w:type="dxa"/>
          </w:tcPr>
          <w:p w:rsidR="006F24D7" w:rsidRDefault="00CF7AE6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Destaque da importância da Reconquista cristã com referência a cada um dos aspetos seguintes:</w:t>
            </w:r>
          </w:p>
          <w:p w:rsidR="006F24D7" w:rsidRPr="00CF7AE6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F7AE6">
              <w:rPr>
                <w:rFonts w:ascii="Arial" w:hAnsi="Arial" w:cs="Arial"/>
                <w:b/>
                <w:sz w:val="20"/>
                <w:szCs w:val="20"/>
              </w:rPr>
              <w:t>Desenvolveu-se em várias fases de que se destacam: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- 1128 </w:t>
            </w:r>
            <w:proofErr w:type="gramStart"/>
            <w:r w:rsidRPr="00146EE9">
              <w:rPr>
                <w:rFonts w:ascii="Arial" w:hAnsi="Arial" w:cs="Arial"/>
                <w:sz w:val="20"/>
                <w:szCs w:val="20"/>
              </w:rPr>
              <w:t>território</w:t>
            </w:r>
            <w:proofErr w:type="gramEnd"/>
            <w:r w:rsidRPr="00146EE9">
              <w:rPr>
                <w:rFonts w:ascii="Arial" w:hAnsi="Arial" w:cs="Arial"/>
                <w:sz w:val="20"/>
                <w:szCs w:val="20"/>
              </w:rPr>
              <w:t xml:space="preserve"> português corresponde ao Condado Portucalense</w:t>
            </w:r>
            <w:r w:rsidR="00CF7AE6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- 1148 </w:t>
            </w:r>
            <w:proofErr w:type="gramStart"/>
            <w:r w:rsidRPr="00146EE9">
              <w:rPr>
                <w:rFonts w:ascii="Arial" w:hAnsi="Arial" w:cs="Arial"/>
                <w:sz w:val="20"/>
                <w:szCs w:val="20"/>
              </w:rPr>
              <w:t>consolidação</w:t>
            </w:r>
            <w:proofErr w:type="gramEnd"/>
            <w:r w:rsidRPr="00146EE9">
              <w:rPr>
                <w:rFonts w:ascii="Arial" w:hAnsi="Arial" w:cs="Arial"/>
                <w:sz w:val="20"/>
                <w:szCs w:val="20"/>
              </w:rPr>
              <w:t xml:space="preserve"> do domínio da linha do Tejo (conquista de Santarém, Lisboa, Sintra, Almada e Palmela)</w:t>
            </w:r>
            <w:r w:rsidR="00CF7AE6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- 1168 </w:t>
            </w:r>
            <w:proofErr w:type="gramStart"/>
            <w:r w:rsidRPr="00146EE9">
              <w:rPr>
                <w:rFonts w:ascii="Arial" w:hAnsi="Arial" w:cs="Arial"/>
                <w:sz w:val="20"/>
                <w:szCs w:val="20"/>
              </w:rPr>
              <w:t>domínio</w:t>
            </w:r>
            <w:proofErr w:type="gramEnd"/>
            <w:r w:rsidRPr="00146EE9">
              <w:rPr>
                <w:rFonts w:ascii="Arial" w:hAnsi="Arial" w:cs="Arial"/>
                <w:sz w:val="20"/>
                <w:szCs w:val="20"/>
              </w:rPr>
              <w:t xml:space="preserve"> da linha do Sado (conquista de Alcácer do Sal)</w:t>
            </w:r>
            <w:r w:rsidR="00CF7AE6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-1162-65 </w:t>
            </w:r>
            <w:proofErr w:type="gramStart"/>
            <w:r w:rsidRPr="00146EE9">
              <w:rPr>
                <w:rFonts w:ascii="Arial" w:hAnsi="Arial" w:cs="Arial"/>
                <w:sz w:val="20"/>
                <w:szCs w:val="20"/>
              </w:rPr>
              <w:t>domínio</w:t>
            </w:r>
            <w:proofErr w:type="gramEnd"/>
            <w:r w:rsidRPr="00146EE9">
              <w:rPr>
                <w:rFonts w:ascii="Arial" w:hAnsi="Arial" w:cs="Arial"/>
                <w:sz w:val="20"/>
                <w:szCs w:val="20"/>
              </w:rPr>
              <w:t xml:space="preserve"> de Beja e Évora</w:t>
            </w:r>
            <w:r>
              <w:rPr>
                <w:rFonts w:ascii="Arial" w:hAnsi="Arial" w:cs="Arial"/>
                <w:sz w:val="20"/>
                <w:szCs w:val="20"/>
              </w:rPr>
              <w:t xml:space="preserve"> mas em</w:t>
            </w:r>
            <w:r w:rsidRPr="00146EE9">
              <w:rPr>
                <w:rFonts w:ascii="Arial" w:hAnsi="Arial" w:cs="Arial"/>
                <w:sz w:val="20"/>
                <w:szCs w:val="20"/>
              </w:rPr>
              <w:t xml:space="preserve"> 1191 recuo para a linha do Sado</w:t>
            </w:r>
            <w:r w:rsidR="00CF7AE6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- 1239 </w:t>
            </w:r>
            <w:proofErr w:type="gramStart"/>
            <w:r w:rsidRPr="00146EE9">
              <w:rPr>
                <w:rFonts w:ascii="Arial" w:hAnsi="Arial" w:cs="Arial"/>
                <w:sz w:val="20"/>
                <w:szCs w:val="20"/>
              </w:rPr>
              <w:t>avanço</w:t>
            </w:r>
            <w:proofErr w:type="gramEnd"/>
            <w:r w:rsidRPr="00146EE9">
              <w:rPr>
                <w:rFonts w:ascii="Arial" w:hAnsi="Arial" w:cs="Arial"/>
                <w:sz w:val="20"/>
                <w:szCs w:val="20"/>
              </w:rPr>
              <w:t xml:space="preserve"> e conquista do Alentejo (integração de Alcácer do Sal, Monforte, Borba, Vila Viçosa e Moura – D. Sancho II avançou no Alentejo (conquista de Elvas, Serpa, Aljustrel e Mértola chegando ao Algarve oriental)</w:t>
            </w:r>
            <w:r w:rsidR="00CF7AE6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- 1249 D. Afonso III conquista definitivamente o Algarve apoderando-se de Faro, Albufeira e Silves.</w:t>
            </w:r>
          </w:p>
          <w:p w:rsidR="006F24D7" w:rsidRPr="00CF7AE6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F7AE6">
              <w:rPr>
                <w:rFonts w:ascii="Arial" w:hAnsi="Arial" w:cs="Arial"/>
                <w:b/>
                <w:sz w:val="20"/>
                <w:szCs w:val="20"/>
              </w:rPr>
              <w:t>Foi um veículo de afirmação e de engrandecimento do poder dos reis e contribuiu para a afirmação de Portugal como reino</w:t>
            </w:r>
            <w:r w:rsidR="00CF7AE6" w:rsidRPr="00CF7AE6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CF7AE6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reis </w:t>
            </w:r>
            <w:r w:rsidRPr="00146EE9">
              <w:rPr>
                <w:rFonts w:ascii="Arial" w:hAnsi="Arial" w:cs="Arial"/>
                <w:sz w:val="20"/>
                <w:szCs w:val="20"/>
              </w:rPr>
              <w:t>dispunham de novas terras</w:t>
            </w:r>
            <w:r>
              <w:rPr>
                <w:rFonts w:ascii="Arial" w:hAnsi="Arial" w:cs="Arial"/>
                <w:sz w:val="20"/>
                <w:szCs w:val="20"/>
              </w:rPr>
              <w:t xml:space="preserve"> avançando para sul</w:t>
            </w:r>
            <w:r w:rsidRPr="00146EE9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CF7AE6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B10DB0">
              <w:rPr>
                <w:rFonts w:ascii="Arial" w:hAnsi="Arial" w:cs="Arial"/>
                <w:sz w:val="20"/>
                <w:szCs w:val="20"/>
              </w:rPr>
              <w:t xml:space="preserve"> R</w:t>
            </w:r>
            <w:r>
              <w:rPr>
                <w:rFonts w:ascii="Arial" w:hAnsi="Arial" w:cs="Arial"/>
                <w:sz w:val="20"/>
                <w:szCs w:val="20"/>
              </w:rPr>
              <w:t xml:space="preserve">econquista era considerada uma </w:t>
            </w:r>
            <w:r w:rsidRPr="00146EE9">
              <w:rPr>
                <w:rFonts w:ascii="Arial" w:hAnsi="Arial" w:cs="Arial"/>
                <w:sz w:val="20"/>
                <w:szCs w:val="20"/>
              </w:rPr>
              <w:t>guerra santa opondo cristãos e muçulmanos;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CF7AE6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6EE9">
              <w:rPr>
                <w:rFonts w:ascii="Arial" w:hAnsi="Arial" w:cs="Arial"/>
                <w:sz w:val="20"/>
                <w:szCs w:val="20"/>
              </w:rPr>
              <w:t>bulas papais exortavam à expulsão dos muçulmanos;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CF7AE6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B10DB0">
              <w:rPr>
                <w:rFonts w:ascii="Arial" w:hAnsi="Arial" w:cs="Arial"/>
                <w:sz w:val="20"/>
                <w:szCs w:val="20"/>
              </w:rPr>
              <w:t xml:space="preserve"> R</w:t>
            </w:r>
            <w:r>
              <w:rPr>
                <w:rFonts w:ascii="Arial" w:hAnsi="Arial" w:cs="Arial"/>
                <w:sz w:val="20"/>
                <w:szCs w:val="20"/>
              </w:rPr>
              <w:t>econquista contou com o apoio por parte dos cruzados e com o a</w:t>
            </w:r>
            <w:r w:rsidRPr="00146EE9">
              <w:rPr>
                <w:rFonts w:ascii="Arial" w:hAnsi="Arial" w:cs="Arial"/>
                <w:sz w:val="20"/>
                <w:szCs w:val="20"/>
              </w:rPr>
              <w:t>uxílio das ordens religioso-militares.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completa do documento, por referência ao solicitado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Uso adequado e sistemático da terminologia específica da disciplina.</w:t>
            </w:r>
          </w:p>
        </w:tc>
        <w:tc>
          <w:tcPr>
            <w:tcW w:w="673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60" w:type="dxa"/>
          </w:tcPr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6F24D7" w:rsidRPr="00146EE9" w:rsidTr="00CF7AE6">
        <w:trPr>
          <w:trHeight w:val="378"/>
        </w:trPr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87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673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67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6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87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Ident</w:t>
            </w:r>
            <w:r w:rsidR="00B10DB0">
              <w:rPr>
                <w:rFonts w:ascii="Arial" w:hAnsi="Arial" w:cs="Arial"/>
                <w:sz w:val="20"/>
                <w:szCs w:val="20"/>
              </w:rPr>
              <w:t>ificação de dois aspe</w:t>
            </w:r>
            <w:r w:rsidR="00CF7AE6">
              <w:rPr>
                <w:rFonts w:ascii="Arial" w:hAnsi="Arial" w:cs="Arial"/>
                <w:sz w:val="20"/>
                <w:szCs w:val="20"/>
              </w:rPr>
              <w:t>tos para cada um dos itens indicados no nível superior.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73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87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673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6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87" w:type="dxa"/>
          </w:tcPr>
          <w:p w:rsidR="006F24D7" w:rsidRPr="00146EE9" w:rsidRDefault="00B10DB0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tos referidos no nível superior.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incipiente do documento, por referência ao solicitado.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73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6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6F24D7" w:rsidRDefault="006F24D7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7AE6" w:rsidRPr="00146EE9" w:rsidRDefault="00CF7AE6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6F24D7" w:rsidRPr="00146EE9" w:rsidRDefault="006F24D7" w:rsidP="006F24D7">
      <w:pPr>
        <w:spacing w:after="0"/>
        <w:ind w:left="360"/>
        <w:jc w:val="both"/>
        <w:rPr>
          <w:rFonts w:ascii="Arial" w:hAnsi="Arial" w:cs="Arial"/>
        </w:rPr>
      </w:pPr>
    </w:p>
    <w:p w:rsidR="006F24D7" w:rsidRPr="00146EE9" w:rsidRDefault="006F24D7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CF7AE6" w:rsidRPr="00146EE9" w:rsidTr="00CF7AE6">
        <w:trPr>
          <w:trHeight w:val="1150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CF7AE6" w:rsidRPr="00146EE9" w:rsidRDefault="00CF7AE6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CF7AE6" w:rsidRPr="00146EE9" w:rsidRDefault="00CF7AE6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CF7AE6" w:rsidRPr="00146EE9" w:rsidRDefault="00CF7AE6" w:rsidP="00CF7AE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CF7AE6" w:rsidRPr="00146EE9" w:rsidRDefault="00CF7AE6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AE6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F24D7" w:rsidRPr="00146EE9" w:rsidTr="00CF7AE6">
        <w:tc>
          <w:tcPr>
            <w:tcW w:w="540" w:type="dxa"/>
            <w:vMerge w:val="restart"/>
          </w:tcPr>
          <w:p w:rsidR="006F24D7" w:rsidRPr="00CF7AE6" w:rsidRDefault="00CF7AE6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I.3</w:t>
            </w:r>
            <w:r w:rsidR="00B10DB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6F24D7" w:rsidRPr="00146EE9" w:rsidRDefault="00CF7AE6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Referência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clara de três </w:t>
            </w:r>
            <w:r w:rsidR="00B10DB0">
              <w:rPr>
                <w:rFonts w:ascii="Arial" w:hAnsi="Arial" w:cs="Arial"/>
                <w:sz w:val="20"/>
                <w:szCs w:val="20"/>
              </w:rPr>
              <w:t>aspet</w:t>
            </w:r>
            <w:r>
              <w:rPr>
                <w:rFonts w:ascii="Arial" w:hAnsi="Arial" w:cs="Arial"/>
                <w:sz w:val="20"/>
                <w:szCs w:val="20"/>
              </w:rPr>
              <w:t>os sobre a</w:t>
            </w:r>
            <w:r w:rsidR="006F24D7">
              <w:rPr>
                <w:rFonts w:ascii="Arial" w:hAnsi="Arial" w:cs="Arial"/>
                <w:sz w:val="20"/>
                <w:szCs w:val="20"/>
              </w:rPr>
              <w:t xml:space="preserve"> importância histórica do</w:t>
            </w:r>
            <w:r>
              <w:rPr>
                <w:rFonts w:ascii="Arial" w:hAnsi="Arial" w:cs="Arial"/>
                <w:sz w:val="20"/>
                <w:szCs w:val="20"/>
              </w:rPr>
              <w:t xml:space="preserve"> Tratado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Alcanis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es</w:t>
            </w:r>
            <w:proofErr w:type="spellEnd"/>
            <w:r w:rsidR="006F24D7" w:rsidRPr="00146EE9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6F24D7" w:rsidRDefault="006F24D7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CF7AE6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stabelecimento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alianças entre Por</w:t>
            </w:r>
            <w:r w:rsidR="00CF7AE6">
              <w:rPr>
                <w:rFonts w:ascii="Arial" w:hAnsi="Arial" w:cs="Arial"/>
                <w:sz w:val="20"/>
                <w:szCs w:val="20"/>
              </w:rPr>
              <w:t>tugal e Castela através da polí</w:t>
            </w:r>
            <w:r>
              <w:rPr>
                <w:rFonts w:ascii="Arial" w:hAnsi="Arial" w:cs="Arial"/>
                <w:sz w:val="20"/>
                <w:szCs w:val="20"/>
              </w:rPr>
              <w:t xml:space="preserve">tica de casamentos: </w:t>
            </w:r>
          </w:p>
          <w:p w:rsidR="006F24D7" w:rsidRPr="00146EE9" w:rsidRDefault="00CF7AE6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F24D7">
              <w:rPr>
                <w:rFonts w:ascii="Arial" w:hAnsi="Arial" w:cs="Arial"/>
                <w:sz w:val="20"/>
                <w:szCs w:val="20"/>
              </w:rPr>
              <w:t>-c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asamento de D</w:t>
            </w:r>
            <w:r w:rsidR="00B10DB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Afonso com D. Beatriz de Castela;</w:t>
            </w:r>
            <w:r w:rsidR="006F24D7">
              <w:rPr>
                <w:rFonts w:ascii="Arial" w:hAnsi="Arial" w:cs="Arial"/>
                <w:sz w:val="20"/>
                <w:szCs w:val="20"/>
              </w:rPr>
              <w:t>- c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asamento de Fernando IV de Castela com a infanta D.</w:t>
            </w:r>
            <w:r w:rsidR="006F24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Constança;</w:t>
            </w:r>
          </w:p>
          <w:p w:rsidR="006F24D7" w:rsidRPr="00146EE9" w:rsidRDefault="00CF7AE6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ixação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dos limites terr</w:t>
            </w:r>
            <w:r w:rsidR="006F24D7">
              <w:rPr>
                <w:rFonts w:ascii="Arial" w:hAnsi="Arial" w:cs="Arial"/>
                <w:sz w:val="20"/>
                <w:szCs w:val="20"/>
              </w:rPr>
              <w:t>itoriais dos reinos hispânicos;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F24D7" w:rsidRPr="00146EE9">
              <w:rPr>
                <w:rFonts w:ascii="Arial" w:hAnsi="Arial" w:cs="Arial"/>
                <w:sz w:val="20"/>
                <w:szCs w:val="20"/>
              </w:rPr>
              <w:t>ex</w:t>
            </w:r>
            <w:proofErr w:type="spell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: Castela recebe Arronches e Portugal </w:t>
            </w:r>
            <w:r w:rsidR="006F24D7">
              <w:rPr>
                <w:rFonts w:ascii="Arial" w:hAnsi="Arial" w:cs="Arial"/>
                <w:sz w:val="20"/>
                <w:szCs w:val="20"/>
              </w:rPr>
              <w:t xml:space="preserve">recebe 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Olivença;</w:t>
            </w:r>
          </w:p>
          <w:p w:rsidR="006F24D7" w:rsidRDefault="006F24D7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- D.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6EE9">
              <w:rPr>
                <w:rFonts w:ascii="Arial" w:hAnsi="Arial" w:cs="Arial"/>
                <w:sz w:val="20"/>
                <w:szCs w:val="20"/>
              </w:rPr>
              <w:t>Dinis prescinde dos direitos em Valença do Minho e Aiamonte</w:t>
            </w:r>
            <w:r w:rsidR="00B10DB0">
              <w:rPr>
                <w:rFonts w:ascii="Arial" w:hAnsi="Arial" w:cs="Arial"/>
                <w:sz w:val="20"/>
                <w:szCs w:val="20"/>
              </w:rPr>
              <w:t>;</w:t>
            </w:r>
            <w:r w:rsidRPr="00146EE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F24D7" w:rsidRPr="00146EE9" w:rsidRDefault="00B10DB0" w:rsidP="00CF7AE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CF7AE6">
              <w:rPr>
                <w:rFonts w:ascii="Arial" w:hAnsi="Arial" w:cs="Arial"/>
                <w:sz w:val="20"/>
                <w:szCs w:val="20"/>
              </w:rPr>
              <w:t>o</w:t>
            </w:r>
            <w:proofErr w:type="gramEnd"/>
            <w:r w:rsidR="006F24D7">
              <w:rPr>
                <w:rFonts w:ascii="Arial" w:hAnsi="Arial" w:cs="Arial"/>
                <w:sz w:val="20"/>
                <w:szCs w:val="20"/>
              </w:rPr>
              <w:t xml:space="preserve"> reino de Portugal assume as fronteiras geográficas mais estáveis da Europa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completa do documento, por referência ao solicitado</w:t>
            </w:r>
            <w:r w:rsidR="00CF7AE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6F24D7" w:rsidRPr="00146EE9" w:rsidTr="00CF7AE6">
        <w:trPr>
          <w:trHeight w:val="321"/>
        </w:trPr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A</w:t>
            </w:r>
            <w:r w:rsidR="00B10DB0">
              <w:rPr>
                <w:rFonts w:ascii="Arial" w:hAnsi="Arial" w:cs="Arial"/>
                <w:sz w:val="20"/>
                <w:szCs w:val="20"/>
              </w:rPr>
              <w:t>presentação de dois aspe</w:t>
            </w:r>
            <w:r w:rsidR="0005458C">
              <w:rPr>
                <w:rFonts w:ascii="Arial" w:hAnsi="Arial" w:cs="Arial"/>
                <w:sz w:val="20"/>
                <w:szCs w:val="20"/>
              </w:rPr>
              <w:t>tos referidos no nível superior.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</w:t>
            </w:r>
            <w:r w:rsidR="0005458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05458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CF7AE6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</w:tcPr>
          <w:p w:rsidR="006F24D7" w:rsidRPr="00146EE9" w:rsidRDefault="0005458C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tos referidos no nível superior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incipiente do documento, por referência ao solicitado</w:t>
            </w:r>
            <w:r w:rsidR="0005458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05458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6F24D7" w:rsidRPr="0005458C" w:rsidRDefault="006F24D7" w:rsidP="0005458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F24D7" w:rsidRPr="0005458C" w:rsidRDefault="006F24D7" w:rsidP="0005458C">
      <w:pPr>
        <w:spacing w:after="0"/>
        <w:jc w:val="both"/>
        <w:rPr>
          <w:rStyle w:val="CotaoCarcter"/>
          <w:b w:val="0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05458C" w:rsidRPr="00146EE9" w:rsidTr="0031229C">
        <w:trPr>
          <w:trHeight w:val="1150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05458C" w:rsidRPr="00146EE9" w:rsidRDefault="0005458C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05458C" w:rsidRPr="00146EE9" w:rsidRDefault="0005458C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05458C" w:rsidRPr="00146EE9" w:rsidRDefault="0005458C" w:rsidP="00CF7AE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5458C" w:rsidRPr="00146EE9" w:rsidRDefault="0005458C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05458C" w:rsidRPr="00146EE9" w:rsidRDefault="0005458C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Domínio específico da disciplina</w:t>
            </w:r>
          </w:p>
        </w:tc>
        <w:tc>
          <w:tcPr>
            <w:tcW w:w="540" w:type="dxa"/>
          </w:tcPr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Pr="00146EE9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Pr="00146EE9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Pr="00146EE9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F24D7" w:rsidRPr="00146EE9" w:rsidTr="0005458C">
        <w:tc>
          <w:tcPr>
            <w:tcW w:w="540" w:type="dxa"/>
            <w:vMerge w:val="restart"/>
          </w:tcPr>
          <w:p w:rsidR="006F24D7" w:rsidRPr="0005458C" w:rsidRDefault="0005458C" w:rsidP="0005458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II.1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Explicita</w:t>
            </w:r>
            <w:r w:rsidR="0005458C">
              <w:rPr>
                <w:rFonts w:ascii="Arial" w:hAnsi="Arial" w:cs="Arial"/>
                <w:sz w:val="20"/>
                <w:szCs w:val="20"/>
              </w:rPr>
              <w:t>ção clara de três características</w:t>
            </w:r>
            <w:r w:rsidRPr="00146EE9">
              <w:rPr>
                <w:rFonts w:ascii="Arial" w:hAnsi="Arial" w:cs="Arial"/>
                <w:sz w:val="20"/>
                <w:szCs w:val="20"/>
              </w:rPr>
              <w:t xml:space="preserve"> da organização da exploração económica do senhorio:</w:t>
            </w:r>
          </w:p>
          <w:p w:rsidR="006F24D7" w:rsidRPr="00146EE9" w:rsidRDefault="0005458C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arcelas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territoriais que incluíam campos de cereais, vinhas, pomares, pastos e bosques;</w:t>
            </w:r>
          </w:p>
          <w:p w:rsidR="006F24D7" w:rsidRPr="00146EE9" w:rsidRDefault="0005458C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ompreendiam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a quintã ou paço, exclusiva do senhor;</w:t>
            </w:r>
          </w:p>
          <w:p w:rsidR="006F24D7" w:rsidRPr="00146EE9" w:rsidRDefault="0005458C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xplo</w:t>
            </w:r>
            <w:r>
              <w:rPr>
                <w:rFonts w:ascii="Arial" w:hAnsi="Arial" w:cs="Arial"/>
                <w:sz w:val="20"/>
                <w:szCs w:val="20"/>
              </w:rPr>
              <w:t>ração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da quintã cabia aos colonos;</w:t>
            </w:r>
          </w:p>
          <w:p w:rsidR="006F24D7" w:rsidRPr="00146EE9" w:rsidRDefault="0005458C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exploração da quintã o</w:t>
            </w:r>
            <w:r>
              <w:rPr>
                <w:rFonts w:ascii="Arial" w:hAnsi="Arial" w:cs="Arial"/>
                <w:sz w:val="20"/>
                <w:szCs w:val="20"/>
              </w:rPr>
              <w:t xml:space="preserve">brigava à prestação de 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serviço</w:t>
            </w:r>
            <w:r>
              <w:rPr>
                <w:rFonts w:ascii="Arial" w:hAnsi="Arial" w:cs="Arial"/>
                <w:sz w:val="20"/>
                <w:szCs w:val="20"/>
              </w:rPr>
              <w:t>s gratuitos e obrigatórios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05458C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casais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ou mansos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eram 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parcelas de exploração arr</w:t>
            </w:r>
            <w:r>
              <w:rPr>
                <w:rFonts w:ascii="Arial" w:hAnsi="Arial" w:cs="Arial"/>
                <w:sz w:val="20"/>
                <w:szCs w:val="20"/>
              </w:rPr>
              <w:t>endadas;</w:t>
            </w:r>
          </w:p>
          <w:p w:rsidR="006F24D7" w:rsidRPr="00146EE9" w:rsidRDefault="0005458C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A exploração dos casais ou mansos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podia </w:t>
            </w:r>
            <w:r>
              <w:rPr>
                <w:rFonts w:ascii="Arial" w:hAnsi="Arial" w:cs="Arial"/>
                <w:sz w:val="20"/>
                <w:szCs w:val="20"/>
              </w:rPr>
              <w:t>ser feita mediante diferentes contratos de arrendamento;</w:t>
            </w:r>
          </w:p>
          <w:p w:rsidR="006F24D7" w:rsidRPr="00146EE9" w:rsidRDefault="0005458C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exploração dos casais ou mansos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obrigava ao pagamento de rendas fixas ou uma parcela das</w:t>
            </w:r>
            <w:r>
              <w:rPr>
                <w:rFonts w:ascii="Arial" w:hAnsi="Arial" w:cs="Arial"/>
                <w:sz w:val="20"/>
                <w:szCs w:val="20"/>
              </w:rPr>
              <w:t xml:space="preserve"> colheitas.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completa do documento, por referência ao solicitado</w:t>
            </w:r>
            <w:r w:rsidR="0005458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0545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0545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05458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5458C" w:rsidRDefault="0005458C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6F24D7" w:rsidRPr="00146EE9" w:rsidTr="00CF7AE6">
        <w:trPr>
          <w:trHeight w:val="321"/>
        </w:trPr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Expli</w:t>
            </w:r>
            <w:r w:rsidR="0005458C">
              <w:rPr>
                <w:rFonts w:ascii="Arial" w:hAnsi="Arial" w:cs="Arial"/>
                <w:sz w:val="20"/>
                <w:szCs w:val="20"/>
              </w:rPr>
              <w:t>citação clara de duas características</w:t>
            </w:r>
            <w:r w:rsidRPr="00146EE9">
              <w:rPr>
                <w:rFonts w:ascii="Arial" w:hAnsi="Arial" w:cs="Arial"/>
                <w:sz w:val="20"/>
                <w:szCs w:val="20"/>
              </w:rPr>
              <w:t xml:space="preserve"> refe</w:t>
            </w:r>
            <w:r w:rsidR="0005458C">
              <w:rPr>
                <w:rFonts w:ascii="Arial" w:hAnsi="Arial" w:cs="Arial"/>
                <w:sz w:val="20"/>
                <w:szCs w:val="20"/>
              </w:rPr>
              <w:t>ridas no nível superior.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</w:t>
            </w:r>
            <w:r w:rsidR="0005458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05458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05458C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</w:tcPr>
          <w:p w:rsidR="006F24D7" w:rsidRPr="00146EE9" w:rsidRDefault="0005458C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tos referidos no nível superior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incipiente do documento, por referência ao solicitado.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05458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6F24D7" w:rsidRPr="00146EE9" w:rsidRDefault="006F24D7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6F24D7" w:rsidRDefault="006F24D7" w:rsidP="0005458C">
      <w:pPr>
        <w:spacing w:after="0"/>
        <w:jc w:val="both"/>
        <w:rPr>
          <w:rFonts w:ascii="Arial" w:hAnsi="Arial" w:cs="Arial"/>
          <w:b/>
        </w:rPr>
      </w:pPr>
    </w:p>
    <w:p w:rsidR="0005458C" w:rsidRDefault="0005458C" w:rsidP="0005458C">
      <w:pPr>
        <w:spacing w:after="0"/>
        <w:jc w:val="both"/>
        <w:rPr>
          <w:rFonts w:ascii="Arial" w:hAnsi="Arial" w:cs="Arial"/>
          <w:b/>
        </w:rPr>
      </w:pPr>
    </w:p>
    <w:p w:rsidR="0005458C" w:rsidRPr="0005458C" w:rsidRDefault="0005458C" w:rsidP="0005458C">
      <w:pPr>
        <w:spacing w:after="0"/>
        <w:jc w:val="both"/>
        <w:rPr>
          <w:rFonts w:ascii="Arial" w:hAnsi="Arial" w:cs="Arial"/>
          <w:b/>
        </w:rPr>
      </w:pPr>
    </w:p>
    <w:p w:rsidR="006F24D7" w:rsidRPr="00146EE9" w:rsidRDefault="006F24D7" w:rsidP="006F24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EE412F" w:rsidRPr="00146EE9" w:rsidTr="002724BE">
        <w:trPr>
          <w:trHeight w:val="1150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EE412F" w:rsidRPr="00146EE9" w:rsidRDefault="00EE412F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Descritores do nível de desempenho no domínio </w:t>
            </w:r>
          </w:p>
          <w:p w:rsidR="00EE412F" w:rsidRPr="00146EE9" w:rsidRDefault="00EE412F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EE412F" w:rsidRPr="00146EE9" w:rsidRDefault="00EE412F" w:rsidP="00CF7AE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EE412F" w:rsidRPr="00146EE9" w:rsidRDefault="00EE412F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EE412F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Pr="00146EE9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Pr="00146EE9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Pr="00146EE9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F24D7" w:rsidRPr="00146EE9" w:rsidTr="00EE412F">
        <w:tc>
          <w:tcPr>
            <w:tcW w:w="540" w:type="dxa"/>
            <w:vMerge w:val="restart"/>
          </w:tcPr>
          <w:p w:rsidR="006F24D7" w:rsidRPr="00EE412F" w:rsidRDefault="00EE412F" w:rsidP="00EE412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II.2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Caracterização clara de três características da cidade medieval, de entre as seguintes:</w:t>
            </w:r>
          </w:p>
          <w:p w:rsidR="006F24D7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spaço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amuralhado (definição da cidade e proteção);</w:t>
            </w:r>
          </w:p>
          <w:p w:rsidR="006F24D7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onstrução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de cinturas de muralhas com o crescimento da cidade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entro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da cidade ocupado pelas elites (edifícios políticos e religiosos)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entro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da cidade lugar de residência dos ricos comerciantes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praça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ou r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ossio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uas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organizadas de acordo com os ofícios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riação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de ruas direitas ou novas (lojas e estalagens)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uas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sinuosas, fétidas e escuras (habitações populares)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udiaria</w:t>
            </w:r>
            <w:proofErr w:type="gramEnd"/>
            <w:r w:rsidR="006F24D7" w:rsidRPr="00146EE9">
              <w:rPr>
                <w:rFonts w:ascii="Arial" w:hAnsi="Arial" w:cs="Arial"/>
                <w:sz w:val="20"/>
                <w:szCs w:val="20"/>
              </w:rPr>
              <w:t xml:space="preserve"> (bairros dos Judeus - sinagoga)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EE412F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our</w:t>
            </w:r>
            <w:r>
              <w:rPr>
                <w:rFonts w:ascii="Arial" w:hAnsi="Arial" w:cs="Arial"/>
                <w:sz w:val="20"/>
                <w:szCs w:val="20"/>
              </w:rPr>
              <w:t>aria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EE412F">
              <w:rPr>
                <w:rFonts w:ascii="Arial" w:hAnsi="Arial" w:cs="Arial"/>
                <w:sz w:val="20"/>
                <w:szCs w:val="20"/>
              </w:rPr>
              <w:t>termo</w:t>
            </w:r>
            <w:proofErr w:type="gramEnd"/>
            <w:r w:rsidR="00EE412F">
              <w:rPr>
                <w:rFonts w:ascii="Arial" w:hAnsi="Arial" w:cs="Arial"/>
                <w:sz w:val="20"/>
                <w:szCs w:val="20"/>
              </w:rPr>
              <w:t xml:space="preserve"> (abastecimento da cidade, hortas, ofícios poluentes).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completa do documento, por referência ao solicitado</w:t>
            </w:r>
            <w:r w:rsidR="00EE412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412F" w:rsidRDefault="00EE412F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6F24D7" w:rsidRPr="00146EE9" w:rsidTr="00CF7AE6">
        <w:trPr>
          <w:trHeight w:val="321"/>
        </w:trPr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Apresentação de duas características apresentadas anteriormente</w:t>
            </w:r>
            <w:r w:rsidR="003E5DE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</w:t>
            </w:r>
            <w:r w:rsidR="003E5DE4">
              <w:rPr>
                <w:rFonts w:ascii="Arial" w:hAnsi="Arial" w:cs="Arial"/>
                <w:sz w:val="20"/>
                <w:szCs w:val="20"/>
              </w:rPr>
              <w:t>completa do documento por referê</w:t>
            </w:r>
            <w:r w:rsidRPr="00146EE9">
              <w:rPr>
                <w:rFonts w:ascii="Arial" w:hAnsi="Arial" w:cs="Arial"/>
                <w:sz w:val="20"/>
                <w:szCs w:val="20"/>
              </w:rPr>
              <w:t>ncia ao solicitado</w:t>
            </w:r>
            <w:r w:rsidR="003E5DE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3E5DE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6F24D7" w:rsidRPr="00146EE9" w:rsidTr="00CF7AE6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EE412F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</w:tcPr>
          <w:p w:rsidR="006F24D7" w:rsidRPr="00146EE9" w:rsidRDefault="003E5DE4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tos referidos no nível superior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</w:t>
            </w:r>
            <w:r w:rsidR="003E5DE4">
              <w:rPr>
                <w:rFonts w:ascii="Arial" w:hAnsi="Arial" w:cs="Arial"/>
                <w:sz w:val="20"/>
                <w:szCs w:val="20"/>
              </w:rPr>
              <w:t>cipiente do documento por referê</w:t>
            </w:r>
            <w:r w:rsidRPr="00146EE9">
              <w:rPr>
                <w:rFonts w:ascii="Arial" w:hAnsi="Arial" w:cs="Arial"/>
                <w:sz w:val="20"/>
                <w:szCs w:val="20"/>
              </w:rPr>
              <w:t>ncia ao solicitado</w:t>
            </w:r>
            <w:r w:rsidR="003E5DE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3E5DE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6F24D7" w:rsidRDefault="006F24D7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Default="003E5DE4" w:rsidP="003E5DE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3E5DE4" w:rsidRPr="003E5DE4" w:rsidRDefault="003E5DE4" w:rsidP="003E5DE4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60"/>
        <w:gridCol w:w="7920"/>
        <w:gridCol w:w="540"/>
        <w:gridCol w:w="540"/>
        <w:gridCol w:w="540"/>
      </w:tblGrid>
      <w:tr w:rsidR="003E5DE4" w:rsidRPr="00146EE9" w:rsidTr="00001506">
        <w:trPr>
          <w:trHeight w:val="1150"/>
        </w:trPr>
        <w:tc>
          <w:tcPr>
            <w:tcW w:w="8820" w:type="dxa"/>
            <w:gridSpan w:val="3"/>
            <w:tcBorders>
              <w:tl2br w:val="single" w:sz="4" w:space="0" w:color="auto"/>
            </w:tcBorders>
          </w:tcPr>
          <w:p w:rsidR="003E5DE4" w:rsidRPr="00146EE9" w:rsidRDefault="003E5DE4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3E5DE4" w:rsidRPr="00146EE9" w:rsidRDefault="003E5DE4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3E5DE4" w:rsidRPr="00146EE9" w:rsidRDefault="003E5DE4" w:rsidP="00CF7AE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E5DE4" w:rsidRPr="00146EE9" w:rsidRDefault="003E5DE4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3E5DE4" w:rsidRPr="00146EE9" w:rsidRDefault="003E5DE4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F24D7" w:rsidRPr="00E659AF" w:rsidTr="003E5DE4">
        <w:tc>
          <w:tcPr>
            <w:tcW w:w="540" w:type="dxa"/>
            <w:vMerge w:val="restart"/>
          </w:tcPr>
          <w:p w:rsidR="006F24D7" w:rsidRPr="003E5DE4" w:rsidRDefault="003E5DE4" w:rsidP="003E5DE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II.3</w:t>
            </w:r>
            <w:r w:rsidR="00B10DB0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36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6F24D7" w:rsidRPr="003E5DE4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7920" w:type="dxa"/>
          </w:tcPr>
          <w:p w:rsidR="006F24D7" w:rsidRPr="003E5DE4" w:rsidRDefault="006F24D7" w:rsidP="003E5DE4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Desenvolvimento claro e organizado do tema «Portugal nas Idade Média apresentava-se como um país dividido económica e socialmente: de um lado, os senhorios e o país rural; do ou</w:t>
            </w:r>
            <w:r w:rsidR="003E5DE4">
              <w:rPr>
                <w:rFonts w:ascii="Arial" w:hAnsi="Arial" w:cs="Arial"/>
                <w:sz w:val="18"/>
                <w:szCs w:val="18"/>
              </w:rPr>
              <w:t>tro, os concelhos e país urbano</w:t>
            </w:r>
            <w:r w:rsidR="00B10DB0">
              <w:rPr>
                <w:rFonts w:ascii="Arial" w:hAnsi="Arial" w:cs="Arial"/>
                <w:sz w:val="18"/>
                <w:szCs w:val="18"/>
              </w:rPr>
              <w:t>» abordando três dos aspe</w:t>
            </w:r>
            <w:bookmarkStart w:id="0" w:name="_GoBack"/>
            <w:bookmarkEnd w:id="0"/>
            <w:r w:rsidRPr="003E5DE4">
              <w:rPr>
                <w:rFonts w:ascii="Arial" w:hAnsi="Arial" w:cs="Arial"/>
                <w:sz w:val="18"/>
                <w:szCs w:val="18"/>
              </w:rPr>
              <w:t>tos a seguir referidos para cada um dos tóp</w:t>
            </w:r>
            <w:r w:rsidR="003E5DE4" w:rsidRPr="003E5DE4">
              <w:rPr>
                <w:rFonts w:ascii="Arial" w:hAnsi="Arial" w:cs="Arial"/>
                <w:sz w:val="18"/>
                <w:szCs w:val="18"/>
              </w:rPr>
              <w:t>icos de orientação de resposta.</w:t>
            </w:r>
          </w:p>
          <w:p w:rsidR="006F24D7" w:rsidRPr="003E5DE4" w:rsidRDefault="006F24D7" w:rsidP="00CF7AE6">
            <w:pPr>
              <w:spacing w:after="0" w:line="240" w:lineRule="auto"/>
              <w:ind w:left="-4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Localização dos senhorios e concelhos</w:t>
            </w:r>
            <w:r w:rsidR="003E5DE4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6F24D7" w:rsidRPr="003E5DE4" w:rsidRDefault="003E5DE4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norte atlântico </w:t>
            </w:r>
            <w:r w:rsidR="006F24D7" w:rsidRPr="003E5DE4">
              <w:rPr>
                <w:rFonts w:ascii="Arial" w:hAnsi="Arial" w:cs="Arial"/>
                <w:sz w:val="18"/>
                <w:szCs w:val="18"/>
              </w:rPr>
              <w:t>predominam os senhorios nobres e eclesiásticos;</w:t>
            </w:r>
          </w:p>
          <w:p w:rsidR="006F24D7" w:rsidRPr="003E5DE4" w:rsidRDefault="003E5DE4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centro e Sul </w:t>
            </w:r>
            <w:r w:rsidR="006F24D7" w:rsidRPr="003E5DE4">
              <w:rPr>
                <w:rFonts w:ascii="Arial" w:hAnsi="Arial" w:cs="Arial"/>
                <w:sz w:val="18"/>
                <w:szCs w:val="18"/>
              </w:rPr>
              <w:t>abundam os concelhos;</w:t>
            </w:r>
          </w:p>
          <w:p w:rsidR="006F24D7" w:rsidRPr="003E5DE4" w:rsidRDefault="003E5DE4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="006F24D7" w:rsidRPr="003E5DE4">
              <w:rPr>
                <w:rFonts w:ascii="Arial" w:hAnsi="Arial" w:cs="Arial"/>
                <w:sz w:val="18"/>
                <w:szCs w:val="18"/>
              </w:rPr>
              <w:t>oncelhos perfeitos ou urbanos localizavam-se nas regiões de fronteira (Beiras, Estremadura e Alentejo) para povoar e defend</w:t>
            </w:r>
            <w:r w:rsidRPr="003E5DE4">
              <w:rPr>
                <w:rFonts w:ascii="Arial" w:hAnsi="Arial" w:cs="Arial"/>
                <w:sz w:val="18"/>
                <w:szCs w:val="18"/>
              </w:rPr>
              <w:t>er os territórios conquistados.</w:t>
            </w:r>
          </w:p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Origem social dos proprietários dos senhorios</w:t>
            </w:r>
            <w:r w:rsidR="003E5DE4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6F24D7" w:rsidRPr="003E5DE4" w:rsidRDefault="003E5DE4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terras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pertencentes ao Rei – r</w:t>
            </w:r>
            <w:r w:rsidR="006F24D7" w:rsidRPr="003E5DE4">
              <w:rPr>
                <w:rFonts w:ascii="Arial" w:hAnsi="Arial" w:cs="Arial"/>
                <w:sz w:val="18"/>
                <w:szCs w:val="18"/>
              </w:rPr>
              <w:t>eguengos;</w:t>
            </w:r>
          </w:p>
          <w:p w:rsidR="006F24D7" w:rsidRPr="003E5DE4" w:rsidRDefault="003E5DE4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terras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pertencentes à nobreza – h</w:t>
            </w:r>
            <w:r w:rsidR="006F24D7" w:rsidRPr="003E5DE4">
              <w:rPr>
                <w:rFonts w:ascii="Arial" w:hAnsi="Arial" w:cs="Arial"/>
                <w:sz w:val="18"/>
                <w:szCs w:val="18"/>
              </w:rPr>
              <w:t>onras;</w:t>
            </w:r>
          </w:p>
          <w:p w:rsidR="006F24D7" w:rsidRPr="003E5DE4" w:rsidRDefault="003E5DE4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6F24D7" w:rsidRPr="003E5DE4">
              <w:rPr>
                <w:rFonts w:ascii="Arial" w:hAnsi="Arial" w:cs="Arial"/>
                <w:sz w:val="18"/>
                <w:szCs w:val="18"/>
              </w:rPr>
              <w:t>erras</w:t>
            </w:r>
            <w:proofErr w:type="gramEnd"/>
            <w:r w:rsidR="006F24D7" w:rsidRPr="003E5DE4">
              <w:rPr>
                <w:rFonts w:ascii="Arial" w:hAnsi="Arial" w:cs="Arial"/>
                <w:sz w:val="18"/>
                <w:szCs w:val="18"/>
              </w:rPr>
              <w:t xml:space="preserve"> pertencentes ao clero</w:t>
            </w:r>
            <w:r>
              <w:rPr>
                <w:rFonts w:ascii="Arial" w:hAnsi="Arial" w:cs="Arial"/>
                <w:sz w:val="18"/>
                <w:szCs w:val="18"/>
              </w:rPr>
              <w:t xml:space="preserve"> – c</w:t>
            </w:r>
            <w:r w:rsidRPr="003E5DE4">
              <w:rPr>
                <w:rFonts w:ascii="Arial" w:hAnsi="Arial" w:cs="Arial"/>
                <w:sz w:val="18"/>
                <w:szCs w:val="18"/>
              </w:rPr>
              <w:t>outos.</w:t>
            </w:r>
          </w:p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Autonomia político-administrativa das cidades</w:t>
            </w:r>
            <w:r w:rsidR="003E5DE4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6F24D7" w:rsidRPr="003E5DE4" w:rsidRDefault="003E5DE4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6F24D7" w:rsidRPr="003E5DE4">
              <w:rPr>
                <w:rFonts w:ascii="Arial" w:hAnsi="Arial" w:cs="Arial"/>
                <w:sz w:val="18"/>
                <w:szCs w:val="18"/>
              </w:rPr>
              <w:t>s</w:t>
            </w:r>
            <w:proofErr w:type="gramEnd"/>
            <w:r w:rsidR="006F24D7" w:rsidRPr="003E5DE4">
              <w:rPr>
                <w:rFonts w:ascii="Arial" w:hAnsi="Arial" w:cs="Arial"/>
                <w:sz w:val="18"/>
                <w:szCs w:val="18"/>
              </w:rPr>
              <w:t xml:space="preserve"> concelhos dispõem de autonomia administrativa (superintendência jurídica);</w:t>
            </w:r>
          </w:p>
          <w:p w:rsidR="006F24D7" w:rsidRPr="003E5DE4" w:rsidRDefault="003E5DE4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="006F24D7" w:rsidRPr="003E5DE4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 w:rsidR="006F24D7" w:rsidRPr="003E5DE4">
              <w:rPr>
                <w:rFonts w:ascii="Arial" w:hAnsi="Arial" w:cs="Arial"/>
                <w:sz w:val="18"/>
                <w:szCs w:val="18"/>
              </w:rPr>
              <w:t xml:space="preserve"> carta de foral define os direitos e obrigações dos habitantes do concelho;</w:t>
            </w:r>
          </w:p>
          <w:p w:rsidR="006F24D7" w:rsidRPr="003E5DE4" w:rsidRDefault="003E5DE4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s</w:t>
            </w:r>
            <w:r w:rsidR="006F24D7" w:rsidRPr="003E5DE4">
              <w:rPr>
                <w:rFonts w:ascii="Arial" w:hAnsi="Arial" w:cs="Arial"/>
                <w:sz w:val="18"/>
                <w:szCs w:val="18"/>
              </w:rPr>
              <w:t>elo do concelho simboliza a autonomia jurídica das populações;</w:t>
            </w:r>
          </w:p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="003E5DE4">
              <w:rPr>
                <w:rFonts w:ascii="Arial" w:hAnsi="Arial" w:cs="Arial"/>
                <w:sz w:val="18"/>
                <w:szCs w:val="18"/>
              </w:rPr>
              <w:t>os</w:t>
            </w:r>
            <w:proofErr w:type="gramEnd"/>
            <w:r w:rsidR="003E5DE4">
              <w:rPr>
                <w:rFonts w:ascii="Arial" w:hAnsi="Arial" w:cs="Arial"/>
                <w:sz w:val="18"/>
                <w:szCs w:val="18"/>
              </w:rPr>
              <w:t xml:space="preserve"> v</w:t>
            </w:r>
            <w:r w:rsidRPr="003E5DE4">
              <w:rPr>
                <w:rFonts w:ascii="Arial" w:hAnsi="Arial" w:cs="Arial"/>
                <w:sz w:val="18"/>
                <w:szCs w:val="18"/>
              </w:rPr>
              <w:t>izinhos são os habitantes das cidades;</w:t>
            </w:r>
          </w:p>
          <w:p w:rsidR="006F24D7" w:rsidRPr="003E5DE4" w:rsidRDefault="003E5DE4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</w:t>
            </w:r>
            <w:proofErr w:type="gramEnd"/>
            <w:r w:rsidR="006F24D7" w:rsidRPr="003E5DE4">
              <w:rPr>
                <w:rFonts w:ascii="Arial" w:hAnsi="Arial" w:cs="Arial"/>
                <w:sz w:val="18"/>
                <w:szCs w:val="18"/>
              </w:rPr>
              <w:t xml:space="preserve"> governo do concel</w:t>
            </w:r>
            <w:r>
              <w:rPr>
                <w:rFonts w:ascii="Arial" w:hAnsi="Arial" w:cs="Arial"/>
                <w:sz w:val="18"/>
                <w:szCs w:val="18"/>
              </w:rPr>
              <w:t xml:space="preserve">ho está cargo dos homens-bons e dos </w:t>
            </w:r>
            <w:r w:rsidR="006F24D7" w:rsidRPr="003E5DE4">
              <w:rPr>
                <w:rFonts w:ascii="Arial" w:hAnsi="Arial" w:cs="Arial"/>
                <w:sz w:val="18"/>
                <w:szCs w:val="18"/>
              </w:rPr>
              <w:t>cavaleiros-vilãos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="003E5DE4">
              <w:rPr>
                <w:rFonts w:ascii="Arial" w:hAnsi="Arial" w:cs="Arial"/>
                <w:sz w:val="18"/>
                <w:szCs w:val="18"/>
              </w:rPr>
              <w:t>os</w:t>
            </w:r>
            <w:proofErr w:type="gramEnd"/>
            <w:r w:rsidR="003E5DE4">
              <w:rPr>
                <w:rFonts w:ascii="Arial" w:hAnsi="Arial" w:cs="Arial"/>
                <w:sz w:val="18"/>
                <w:szCs w:val="18"/>
              </w:rPr>
              <w:t xml:space="preserve"> h</w:t>
            </w:r>
            <w:r w:rsidRPr="003E5DE4">
              <w:rPr>
                <w:rFonts w:ascii="Arial" w:hAnsi="Arial" w:cs="Arial"/>
                <w:sz w:val="18"/>
                <w:szCs w:val="18"/>
              </w:rPr>
              <w:t>omens-bons monopolizam as magistraturas de administração;</w:t>
            </w:r>
          </w:p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="003E5DE4">
              <w:rPr>
                <w:rFonts w:ascii="Arial" w:hAnsi="Arial" w:cs="Arial"/>
                <w:sz w:val="18"/>
                <w:szCs w:val="18"/>
              </w:rPr>
              <w:t>os</w:t>
            </w:r>
            <w:proofErr w:type="gramEnd"/>
            <w:r w:rsidR="003E5DE4">
              <w:rPr>
                <w:rFonts w:ascii="Arial" w:hAnsi="Arial" w:cs="Arial"/>
                <w:sz w:val="18"/>
                <w:szCs w:val="18"/>
              </w:rPr>
              <w:t xml:space="preserve"> vereadores aprovados</w:t>
            </w:r>
            <w:r w:rsidRPr="003E5DE4">
              <w:rPr>
                <w:rFonts w:ascii="Arial" w:hAnsi="Arial" w:cs="Arial"/>
                <w:sz w:val="18"/>
                <w:szCs w:val="18"/>
              </w:rPr>
              <w:t xml:space="preserve"> pelo r</w:t>
            </w:r>
            <w:r w:rsidR="003E5DE4" w:rsidRPr="003E5DE4">
              <w:rPr>
                <w:rFonts w:ascii="Arial" w:hAnsi="Arial" w:cs="Arial"/>
                <w:sz w:val="18"/>
                <w:szCs w:val="18"/>
              </w:rPr>
              <w:t>ei para reforçar o poder régio.</w:t>
            </w:r>
          </w:p>
          <w:p w:rsidR="006F24D7" w:rsidRPr="003E5DE4" w:rsidRDefault="006F24D7" w:rsidP="006F24D7">
            <w:pPr>
              <w:numPr>
                <w:ilvl w:val="0"/>
                <w:numId w:val="2"/>
              </w:numPr>
              <w:tabs>
                <w:tab w:val="clear" w:pos="802"/>
                <w:tab w:val="num" w:pos="252"/>
              </w:tabs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Integração, de forma oportuna e sistemática, dos quatro documentos</w:t>
            </w:r>
            <w:r w:rsidR="003E5DE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6F24D7" w:rsidRPr="003E5DE4" w:rsidRDefault="006F24D7" w:rsidP="006F24D7">
            <w:pPr>
              <w:numPr>
                <w:ilvl w:val="0"/>
                <w:numId w:val="2"/>
              </w:numPr>
              <w:tabs>
                <w:tab w:val="clear" w:pos="802"/>
                <w:tab w:val="num" w:pos="252"/>
              </w:tabs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3E5DE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6F24D7" w:rsidRPr="003E5DE4" w:rsidRDefault="006F24D7" w:rsidP="00CF7AE6">
            <w:pPr>
              <w:spacing w:after="0" w:line="240" w:lineRule="auto"/>
              <w:ind w:left="7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39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40</w:t>
            </w:r>
          </w:p>
        </w:tc>
      </w:tr>
      <w:tr w:rsidR="006F24D7" w:rsidRPr="00E659AF" w:rsidTr="00CF7AE6">
        <w:trPr>
          <w:trHeight w:val="291"/>
        </w:trPr>
        <w:tc>
          <w:tcPr>
            <w:tcW w:w="540" w:type="dxa"/>
            <w:vMerge/>
          </w:tcPr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6F24D7" w:rsidRP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6F24D7" w:rsidRPr="003E5DE4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792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33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35</w:t>
            </w:r>
          </w:p>
        </w:tc>
      </w:tr>
      <w:tr w:rsidR="006F24D7" w:rsidRPr="00E659AF" w:rsidTr="00CF7AE6">
        <w:tc>
          <w:tcPr>
            <w:tcW w:w="540" w:type="dxa"/>
            <w:vMerge/>
          </w:tcPr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6F24D7" w:rsidRPr="003E5DE4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920" w:type="dxa"/>
          </w:tcPr>
          <w:p w:rsidR="006F24D7" w:rsidRPr="003E5DE4" w:rsidRDefault="006F24D7" w:rsidP="00CF7AE6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Desenvolvimento do tema «Portugal nas Idade Média apresentava-se como um país dividido económica e socialmente: de um lado, os senhorios e o país rural; do ou</w:t>
            </w:r>
            <w:r w:rsidR="003E5DE4">
              <w:rPr>
                <w:rFonts w:ascii="Arial" w:hAnsi="Arial" w:cs="Arial"/>
                <w:sz w:val="18"/>
                <w:szCs w:val="18"/>
              </w:rPr>
              <w:t>tro, os concelhos e país urbano</w:t>
            </w:r>
            <w:r w:rsidRPr="003E5DE4">
              <w:rPr>
                <w:rFonts w:ascii="Arial" w:hAnsi="Arial" w:cs="Arial"/>
                <w:sz w:val="18"/>
                <w:szCs w:val="18"/>
              </w:rPr>
              <w:t>» abordando por referência ao nível 7:</w:t>
            </w:r>
          </w:p>
          <w:p w:rsidR="006F24D7" w:rsidRPr="003E5DE4" w:rsidRDefault="006F24D7" w:rsidP="00CF7AE6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-dois aspetos de cada um dos tópicos (2/2/2);</w:t>
            </w:r>
          </w:p>
          <w:p w:rsidR="006F24D7" w:rsidRPr="003E5DE4" w:rsidRDefault="006F24D7" w:rsidP="00CF7AE6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-três aspetos de um dos tópicos, dois aspetos de outro dos tópicos e um aspeto de outro tópico (3/2/1);</w:t>
            </w:r>
          </w:p>
          <w:p w:rsidR="006F24D7" w:rsidRPr="003E5DE4" w:rsidRDefault="006F24D7" w:rsidP="00CF7AE6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-três aspetos de cada um de dois tópicos (3/3/0);</w:t>
            </w:r>
          </w:p>
          <w:p w:rsidR="006F24D7" w:rsidRPr="003E5DE4" w:rsidRDefault="006F24D7" w:rsidP="00CF7AE6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-dois aspetos de cada um de dois tópicos e um aspeto do outro tópico (2/2/1);</w:t>
            </w:r>
          </w:p>
          <w:p w:rsidR="006F24D7" w:rsidRPr="003E5DE4" w:rsidRDefault="006F24D7" w:rsidP="00CF7AE6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-três aspetos de um dos tópicos e dois aspetos de outro dos tópicos (3/2/0);</w:t>
            </w:r>
          </w:p>
          <w:p w:rsidR="006F24D7" w:rsidRPr="003E5DE4" w:rsidRDefault="006F24D7" w:rsidP="00CF7AE6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-três aspetos de um dos tópicos e um aspeto de cada um dos outros tópicos (3/1/1)</w:t>
            </w:r>
          </w:p>
          <w:p w:rsidR="006F24D7" w:rsidRPr="003E5DE4" w:rsidRDefault="006F24D7" w:rsidP="006F24D7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 xml:space="preserve">Integração, de forma oportuna, de 3 documentos. </w:t>
            </w:r>
          </w:p>
          <w:p w:rsidR="006F24D7" w:rsidRPr="003E5DE4" w:rsidRDefault="006F24D7" w:rsidP="006F24D7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Utilização adequada da terminologia específica da disciplina.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</w:tr>
      <w:tr w:rsidR="006F24D7" w:rsidRPr="00E659AF" w:rsidTr="00CF7AE6">
        <w:tc>
          <w:tcPr>
            <w:tcW w:w="540" w:type="dxa"/>
            <w:vMerge/>
          </w:tcPr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6F24D7" w:rsidRP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6F24D7" w:rsidRPr="003E5DE4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92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6F24D7" w:rsidRPr="00E659AF" w:rsidTr="00CF7AE6">
        <w:tc>
          <w:tcPr>
            <w:tcW w:w="540" w:type="dxa"/>
            <w:vMerge/>
          </w:tcPr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6F24D7" w:rsidRPr="003E5DE4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920" w:type="dxa"/>
          </w:tcPr>
          <w:p w:rsidR="006F24D7" w:rsidRPr="003E5DE4" w:rsidRDefault="006F24D7" w:rsidP="00CF7AE6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 xml:space="preserve">Desenvolvimento do tema </w:t>
            </w:r>
            <w:r w:rsidR="003E5DE4" w:rsidRPr="003E5DE4">
              <w:rPr>
                <w:rFonts w:ascii="Arial" w:hAnsi="Arial" w:cs="Arial"/>
                <w:sz w:val="18"/>
                <w:szCs w:val="18"/>
              </w:rPr>
              <w:t>«Portugal nas Idade Média apresentava-se como um país dividido económica e socialmente: de um lado, os senhorios e o país rural; do ou</w:t>
            </w:r>
            <w:r w:rsidR="003E5DE4">
              <w:rPr>
                <w:rFonts w:ascii="Arial" w:hAnsi="Arial" w:cs="Arial"/>
                <w:sz w:val="18"/>
                <w:szCs w:val="18"/>
              </w:rPr>
              <w:t>tro, os concelhos e país urbano</w:t>
            </w:r>
            <w:r w:rsidR="003E5DE4" w:rsidRPr="003E5DE4">
              <w:rPr>
                <w:rFonts w:ascii="Arial" w:hAnsi="Arial" w:cs="Arial"/>
                <w:sz w:val="18"/>
                <w:szCs w:val="18"/>
              </w:rPr>
              <w:t xml:space="preserve">» </w:t>
            </w:r>
            <w:r w:rsidRPr="003E5DE4">
              <w:rPr>
                <w:rFonts w:ascii="Arial" w:hAnsi="Arial" w:cs="Arial"/>
                <w:sz w:val="18"/>
                <w:szCs w:val="18"/>
              </w:rPr>
              <w:t>abordando por referência ao nível 7:</w:t>
            </w:r>
          </w:p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-um aspeto de cada um dos tópicos (1/1/1);</w:t>
            </w:r>
          </w:p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-três aspetos de um dos tópicos (3/0/0);</w:t>
            </w:r>
          </w:p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-dois aspetos de um dos tópicos e um aspeto de outro dos tópicos (2/1/0);</w:t>
            </w:r>
          </w:p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-um aspeto de cada um de dois dos tópicos (1/1/0);</w:t>
            </w:r>
          </w:p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-dois aspetos de um dos tópicos (2/0/0)</w:t>
            </w:r>
          </w:p>
          <w:p w:rsidR="006F24D7" w:rsidRPr="003E5DE4" w:rsidRDefault="006F24D7" w:rsidP="006F24D7">
            <w:pPr>
              <w:numPr>
                <w:ilvl w:val="0"/>
                <w:numId w:val="4"/>
              </w:numPr>
              <w:spacing w:after="0" w:line="240" w:lineRule="auto"/>
              <w:ind w:hanging="32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Integração, de forma oportuna, de dois documentos</w:t>
            </w:r>
            <w:r w:rsidR="003E5DE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6F24D7" w:rsidRPr="003E5DE4" w:rsidRDefault="006F24D7" w:rsidP="006F24D7">
            <w:pPr>
              <w:numPr>
                <w:ilvl w:val="0"/>
                <w:numId w:val="4"/>
              </w:numPr>
              <w:spacing w:after="0" w:line="240" w:lineRule="auto"/>
              <w:ind w:hanging="32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3E5DE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6F24D7" w:rsidRPr="00E659AF" w:rsidTr="00CF7AE6">
        <w:tc>
          <w:tcPr>
            <w:tcW w:w="540" w:type="dxa"/>
            <w:vMerge w:val="restart"/>
          </w:tcPr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6F24D7" w:rsidRP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6F24D7" w:rsidRPr="003E5DE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92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6F24D7" w:rsidRPr="00E659AF" w:rsidTr="00CF7AE6">
        <w:tc>
          <w:tcPr>
            <w:tcW w:w="540" w:type="dxa"/>
            <w:vMerge/>
          </w:tcPr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6F24D7" w:rsidRPr="003E5DE4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920" w:type="dxa"/>
          </w:tcPr>
          <w:p w:rsidR="006F24D7" w:rsidRPr="003E5DE4" w:rsidRDefault="006F24D7" w:rsidP="00CF7A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Apresentação genérica dos aspetos referidos no nível 7.</w:t>
            </w:r>
          </w:p>
          <w:p w:rsidR="006F24D7" w:rsidRPr="003E5DE4" w:rsidRDefault="006F24D7" w:rsidP="006F24D7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Incipiente integração dos documentos, por referência ao solicitado.</w:t>
            </w:r>
          </w:p>
          <w:p w:rsidR="006F24D7" w:rsidRPr="003E5DE4" w:rsidRDefault="006F24D7" w:rsidP="006F24D7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5DE4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disciplina.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F24D7" w:rsidRPr="003E5DE4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DE4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</w:tbl>
    <w:p w:rsidR="006F24D7" w:rsidRPr="00E659AF" w:rsidRDefault="006F24D7" w:rsidP="006F24D7">
      <w:pPr>
        <w:spacing w:after="0" w:line="240" w:lineRule="auto"/>
        <w:jc w:val="center"/>
        <w:rPr>
          <w:rFonts w:ascii="Arial Narrow" w:hAnsi="Arial Narrow" w:cs="Arial"/>
          <w:sz w:val="18"/>
          <w:szCs w:val="18"/>
        </w:rPr>
      </w:pPr>
    </w:p>
    <w:p w:rsidR="006F24D7" w:rsidRPr="00E659AF" w:rsidRDefault="006F24D7" w:rsidP="006F24D7">
      <w:pPr>
        <w:spacing w:after="0" w:line="240" w:lineRule="auto"/>
        <w:jc w:val="center"/>
        <w:rPr>
          <w:rFonts w:ascii="Arial Narrow" w:hAnsi="Arial Narrow" w:cs="Arial"/>
          <w:sz w:val="18"/>
          <w:szCs w:val="18"/>
        </w:rPr>
      </w:pPr>
    </w:p>
    <w:p w:rsidR="006F24D7" w:rsidRPr="00146EE9" w:rsidRDefault="006F24D7" w:rsidP="006F24D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46EE9">
        <w:rPr>
          <w:rFonts w:ascii="Arial" w:hAnsi="Arial" w:cs="Arial"/>
          <w:sz w:val="20"/>
          <w:szCs w:val="20"/>
        </w:rPr>
        <w:br w:type="page"/>
      </w:r>
    </w:p>
    <w:p w:rsidR="006F24D7" w:rsidRPr="003E5DE4" w:rsidRDefault="006F24D7" w:rsidP="003E5D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95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6687"/>
        <w:gridCol w:w="673"/>
        <w:gridCol w:w="567"/>
        <w:gridCol w:w="560"/>
      </w:tblGrid>
      <w:tr w:rsidR="003E5DE4" w:rsidRPr="00146EE9" w:rsidTr="003E5DE4">
        <w:trPr>
          <w:trHeight w:val="1150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3E5DE4" w:rsidRPr="00146EE9" w:rsidRDefault="003E5DE4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3E5DE4" w:rsidRPr="00146EE9" w:rsidRDefault="003E5DE4" w:rsidP="00CF7AE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3E5DE4" w:rsidRPr="00146EE9" w:rsidRDefault="003E5DE4" w:rsidP="00CF7AE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E5DE4" w:rsidRPr="00146EE9" w:rsidRDefault="003E5DE4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3E5DE4" w:rsidRPr="00146EE9" w:rsidRDefault="003E5DE4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46EE9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146EE9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673" w:type="dxa"/>
          </w:tcPr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60" w:type="dxa"/>
          </w:tcPr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5DE4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F24D7" w:rsidRPr="00146EE9" w:rsidTr="003E5DE4">
        <w:tc>
          <w:tcPr>
            <w:tcW w:w="540" w:type="dxa"/>
            <w:vMerge w:val="restart"/>
          </w:tcPr>
          <w:p w:rsidR="006F24D7" w:rsidRPr="003E5DE4" w:rsidRDefault="003E5DE4" w:rsidP="003E5DE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E5DE4">
              <w:rPr>
                <w:rFonts w:ascii="Arial" w:hAnsi="Arial" w:cs="Arial"/>
                <w:b/>
                <w:sz w:val="20"/>
                <w:szCs w:val="20"/>
              </w:rPr>
              <w:t>III.1</w:t>
            </w: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87" w:type="dxa"/>
          </w:tcPr>
          <w:p w:rsidR="006F24D7" w:rsidRPr="00146EE9" w:rsidRDefault="003E5DE4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Explicitação clara dos três fa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tores que contribuíram para a diminuição da população no século XIV: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146EE9">
              <w:rPr>
                <w:rFonts w:ascii="Arial" w:hAnsi="Arial" w:cs="Arial"/>
                <w:sz w:val="20"/>
                <w:szCs w:val="20"/>
              </w:rPr>
              <w:t>fomes</w:t>
            </w:r>
            <w:proofErr w:type="gramEnd"/>
            <w:r w:rsidRPr="00146EE9">
              <w:rPr>
                <w:rFonts w:ascii="Arial" w:hAnsi="Arial" w:cs="Arial"/>
                <w:sz w:val="20"/>
                <w:szCs w:val="20"/>
              </w:rPr>
              <w:t xml:space="preserve"> devido ao esgotamento dos solos, aos maus anos agrícolas, às mudanças climáticas  e à subida do preço do pão;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-pestes, especialmente a Peste Negra, muito contagiosa, consequência da falta de higiene individual e coletiva;</w:t>
            </w: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guerras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6EE9">
              <w:rPr>
                <w:rFonts w:ascii="Arial" w:hAnsi="Arial" w:cs="Arial"/>
                <w:sz w:val="20"/>
                <w:szCs w:val="20"/>
              </w:rPr>
              <w:t>que sig</w:t>
            </w:r>
            <w:r w:rsidR="003E5DE4">
              <w:rPr>
                <w:rFonts w:ascii="Arial" w:hAnsi="Arial" w:cs="Arial"/>
                <w:sz w:val="20"/>
                <w:szCs w:val="20"/>
              </w:rPr>
              <w:t xml:space="preserve">nificavam destruição dos campos e </w:t>
            </w:r>
            <w:r w:rsidRPr="00146E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5DE4">
              <w:rPr>
                <w:rFonts w:ascii="Arial" w:hAnsi="Arial" w:cs="Arial"/>
                <w:sz w:val="20"/>
                <w:szCs w:val="20"/>
              </w:rPr>
              <w:t>roubos de gado.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completa do documento, por referência ao solicitado</w:t>
            </w:r>
            <w:r w:rsidR="003E5DE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Uso adequado e sistemático da terminologia específica da disciplina.</w:t>
            </w:r>
          </w:p>
        </w:tc>
        <w:tc>
          <w:tcPr>
            <w:tcW w:w="673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60" w:type="dxa"/>
          </w:tcPr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6F24D7" w:rsidRPr="00146EE9" w:rsidTr="003E5DE4">
        <w:trPr>
          <w:trHeight w:val="378"/>
        </w:trPr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87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673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67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6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6F24D7" w:rsidRPr="00146EE9" w:rsidTr="003E5DE4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87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Apresentação de dois dos fatores referidos no nível superior.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solicitado.</w:t>
            </w:r>
          </w:p>
          <w:p w:rsidR="006F24D7" w:rsidRPr="00146EE9" w:rsidRDefault="006F24D7" w:rsidP="006F24D7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3E5DE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73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6F24D7" w:rsidRPr="00146EE9" w:rsidTr="003E5DE4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87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EE9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673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6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6F24D7" w:rsidRPr="00146EE9" w:rsidTr="003E5DE4">
        <w:tc>
          <w:tcPr>
            <w:tcW w:w="540" w:type="dxa"/>
            <w:vMerge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3E5DE4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F24D7" w:rsidRPr="00146E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87" w:type="dxa"/>
          </w:tcPr>
          <w:p w:rsidR="006F24D7" w:rsidRPr="00146EE9" w:rsidRDefault="003E5DE4" w:rsidP="00CF7A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</w:t>
            </w:r>
            <w:r w:rsidR="006F24D7" w:rsidRPr="00146EE9">
              <w:rPr>
                <w:rFonts w:ascii="Arial" w:hAnsi="Arial" w:cs="Arial"/>
                <w:sz w:val="20"/>
                <w:szCs w:val="20"/>
              </w:rPr>
              <w:t>tos referidos no nível superior.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Interpretação incipiente do documento, por referência ao solicitado.</w:t>
            </w:r>
          </w:p>
          <w:p w:rsidR="006F24D7" w:rsidRPr="00146EE9" w:rsidRDefault="006F24D7" w:rsidP="006F24D7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146EE9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3E5DE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73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60" w:type="dxa"/>
          </w:tcPr>
          <w:p w:rsidR="006F24D7" w:rsidRPr="00146EE9" w:rsidRDefault="006F24D7" w:rsidP="00CF7A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24D7" w:rsidRPr="00146EE9" w:rsidRDefault="006F24D7" w:rsidP="00CF7A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6F24D7" w:rsidRPr="00146EE9" w:rsidRDefault="006F24D7" w:rsidP="006F24D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F24D7" w:rsidRDefault="006F24D7" w:rsidP="006F24D7">
      <w:pPr>
        <w:rPr>
          <w:rFonts w:ascii="Arial" w:hAnsi="Arial" w:cs="Arial"/>
        </w:rPr>
      </w:pPr>
    </w:p>
    <w:p w:rsidR="002861C3" w:rsidRDefault="002861C3"/>
    <w:sectPr w:rsidR="002861C3" w:rsidSect="006F24D7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8335D"/>
    <w:multiLevelType w:val="hybridMultilevel"/>
    <w:tmpl w:val="50EA9E5C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4814A9"/>
    <w:multiLevelType w:val="hybridMultilevel"/>
    <w:tmpl w:val="8580FF2E"/>
    <w:lvl w:ilvl="0" w:tplc="F3D0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E611A9"/>
    <w:multiLevelType w:val="hybridMultilevel"/>
    <w:tmpl w:val="FD1A9B72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AC1FAF"/>
    <w:multiLevelType w:val="hybridMultilevel"/>
    <w:tmpl w:val="CA861DE4"/>
    <w:lvl w:ilvl="0" w:tplc="3482BD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BF08EA"/>
    <w:multiLevelType w:val="multilevel"/>
    <w:tmpl w:val="8730AF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sz w:val="22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b/>
        <w:i w:val="0"/>
      </w:rPr>
    </w:lvl>
  </w:abstractNum>
  <w:abstractNum w:abstractNumId="5">
    <w:nsid w:val="48E947EA"/>
    <w:multiLevelType w:val="hybridMultilevel"/>
    <w:tmpl w:val="29448762"/>
    <w:lvl w:ilvl="0" w:tplc="F3D0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C0207F"/>
    <w:multiLevelType w:val="hybridMultilevel"/>
    <w:tmpl w:val="C122E46E"/>
    <w:lvl w:ilvl="0" w:tplc="F3D001CA">
      <w:start w:val="1"/>
      <w:numFmt w:val="bullet"/>
      <w:lvlText w:val=""/>
      <w:lvlJc w:val="left"/>
      <w:pPr>
        <w:tabs>
          <w:tab w:val="num" w:pos="802"/>
        </w:tabs>
        <w:ind w:left="632" w:firstLine="76"/>
      </w:pPr>
      <w:rPr>
        <w:rFonts w:ascii="Symbol" w:hAnsi="Symbol" w:hint="default"/>
      </w:rPr>
    </w:lvl>
    <w:lvl w:ilvl="1" w:tplc="F3D001CA">
      <w:start w:val="1"/>
      <w:numFmt w:val="bullet"/>
      <w:lvlText w:val=""/>
      <w:lvlJc w:val="left"/>
      <w:pPr>
        <w:tabs>
          <w:tab w:val="num" w:pos="1522"/>
        </w:tabs>
        <w:ind w:left="1352" w:firstLine="76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568902FC"/>
    <w:multiLevelType w:val="hybridMultilevel"/>
    <w:tmpl w:val="29B20958"/>
    <w:lvl w:ilvl="0" w:tplc="F3D001CA">
      <w:start w:val="1"/>
      <w:numFmt w:val="bullet"/>
      <w:lvlText w:val=""/>
      <w:lvlJc w:val="left"/>
      <w:pPr>
        <w:tabs>
          <w:tab w:val="num" w:pos="526"/>
        </w:tabs>
        <w:ind w:left="356" w:firstLine="76"/>
      </w:pPr>
      <w:rPr>
        <w:rFonts w:ascii="Symbol" w:hAnsi="Symbol" w:hint="default"/>
      </w:rPr>
    </w:lvl>
    <w:lvl w:ilvl="1" w:tplc="53FECFAE">
      <w:start w:val="1"/>
      <w:numFmt w:val="bullet"/>
      <w:lvlText w:val=""/>
      <w:lvlJc w:val="left"/>
      <w:pPr>
        <w:tabs>
          <w:tab w:val="num" w:pos="3442"/>
        </w:tabs>
        <w:ind w:left="1038" w:firstLine="114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8">
    <w:nsid w:val="66022A49"/>
    <w:multiLevelType w:val="hybridMultilevel"/>
    <w:tmpl w:val="D890CD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4D7"/>
    <w:rsid w:val="0005458C"/>
    <w:rsid w:val="002861C3"/>
    <w:rsid w:val="003E5DE4"/>
    <w:rsid w:val="006F24D7"/>
    <w:rsid w:val="00B10DB0"/>
    <w:rsid w:val="00CF7AE6"/>
    <w:rsid w:val="00EE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4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4D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qFormat/>
    <w:rsid w:val="006F24D7"/>
    <w:rPr>
      <w:rFonts w:ascii="Calibri" w:eastAsia="Calibri" w:hAnsi="Calibri" w:cs="Times New Roman"/>
      <w:b/>
      <w:bCs/>
      <w:sz w:val="20"/>
      <w:szCs w:val="20"/>
      <w:lang w:eastAsia="pt-PT"/>
    </w:rPr>
  </w:style>
  <w:style w:type="paragraph" w:customStyle="1" w:styleId="Cotao">
    <w:name w:val="Cotação"/>
    <w:basedOn w:val="Normal"/>
    <w:link w:val="CotaoCarcter"/>
    <w:rsid w:val="006F24D7"/>
    <w:pPr>
      <w:spacing w:after="0"/>
      <w:ind w:left="360" w:hanging="360"/>
      <w:jc w:val="both"/>
    </w:pPr>
    <w:rPr>
      <w:rFonts w:ascii="Arial" w:eastAsia="Calibri" w:hAnsi="Arial" w:cs="Arial"/>
      <w:b/>
      <w:sz w:val="18"/>
      <w:szCs w:val="18"/>
    </w:rPr>
  </w:style>
  <w:style w:type="character" w:customStyle="1" w:styleId="CotaoCarcter">
    <w:name w:val="Cotação Carácter"/>
    <w:basedOn w:val="DefaultParagraphFont"/>
    <w:link w:val="Cotao"/>
    <w:rsid w:val="006F24D7"/>
    <w:rPr>
      <w:rFonts w:ascii="Arial" w:eastAsia="Calibri" w:hAnsi="Arial" w:cs="Arial"/>
      <w:b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4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4D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qFormat/>
    <w:rsid w:val="006F24D7"/>
    <w:rPr>
      <w:rFonts w:ascii="Calibri" w:eastAsia="Calibri" w:hAnsi="Calibri" w:cs="Times New Roman"/>
      <w:b/>
      <w:bCs/>
      <w:sz w:val="20"/>
      <w:szCs w:val="20"/>
      <w:lang w:eastAsia="pt-PT"/>
    </w:rPr>
  </w:style>
  <w:style w:type="paragraph" w:customStyle="1" w:styleId="Cotao">
    <w:name w:val="Cotação"/>
    <w:basedOn w:val="Normal"/>
    <w:link w:val="CotaoCarcter"/>
    <w:rsid w:val="006F24D7"/>
    <w:pPr>
      <w:spacing w:after="0"/>
      <w:ind w:left="360" w:hanging="360"/>
      <w:jc w:val="both"/>
    </w:pPr>
    <w:rPr>
      <w:rFonts w:ascii="Arial" w:eastAsia="Calibri" w:hAnsi="Arial" w:cs="Arial"/>
      <w:b/>
      <w:sz w:val="18"/>
      <w:szCs w:val="18"/>
    </w:rPr>
  </w:style>
  <w:style w:type="character" w:customStyle="1" w:styleId="CotaoCarcter">
    <w:name w:val="Cotação Carácter"/>
    <w:basedOn w:val="DefaultParagraphFont"/>
    <w:link w:val="Cotao"/>
    <w:rsid w:val="006F24D7"/>
    <w:rPr>
      <w:rFonts w:ascii="Arial" w:eastAsia="Calibri" w:hAnsi="Arial" w:cs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1947</Words>
  <Characters>10518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EMiranda</cp:lastModifiedBy>
  <cp:revision>4</cp:revision>
  <dcterms:created xsi:type="dcterms:W3CDTF">2013-05-13T20:28:00Z</dcterms:created>
  <dcterms:modified xsi:type="dcterms:W3CDTF">2013-05-27T14:04:00Z</dcterms:modified>
</cp:coreProperties>
</file>