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C76D7C">
        <w:rPr>
          <w:rFonts w:ascii="Georgia" w:hAnsi="Georgia" w:cs="Georgia"/>
          <w:color w:val="000000"/>
          <w:sz w:val="28"/>
          <w:szCs w:val="28"/>
        </w:rPr>
        <w:t>1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68399F" w:rsidRPr="00F853C2" w:rsidRDefault="0068399F" w:rsidP="0068399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68399F"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68399F"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>Opção</w:t>
      </w:r>
      <w:r w:rsidRPr="00F853C2">
        <w:rPr>
          <w:rFonts w:ascii="Georgia" w:hAnsi="Georgia" w:cs="Arial-BoldMT"/>
          <w:b/>
          <w:bCs/>
          <w:sz w:val="18"/>
          <w:szCs w:val="18"/>
        </w:rPr>
        <w:t xml:space="preserve"> (</w:t>
      </w:r>
      <w:r w:rsidR="0068399F">
        <w:rPr>
          <w:rFonts w:ascii="Georgia" w:hAnsi="Georgia" w:cs="Arial-BoldMT"/>
          <w:b/>
          <w:bCs/>
          <w:sz w:val="18"/>
          <w:szCs w:val="18"/>
        </w:rPr>
        <w:t>B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68399F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68399F" w:rsidRDefault="0068399F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>B</w:t>
      </w:r>
      <w:r w:rsidR="00F853C2"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="00F853C2"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>
        <w:rPr>
          <w:rFonts w:ascii="Georgia" w:hAnsi="Georgia" w:cs="Arial-BoldMT"/>
          <w:b/>
          <w:bCs/>
          <w:sz w:val="18"/>
          <w:szCs w:val="18"/>
        </w:rPr>
        <w:t>A</w:t>
      </w:r>
      <w:r w:rsidR="00F853C2"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>
        <w:rPr>
          <w:rFonts w:ascii="Georgia" w:hAnsi="Georgia" w:cs="Arial-BoldMT"/>
          <w:b/>
          <w:bCs/>
          <w:sz w:val="18"/>
          <w:szCs w:val="18"/>
        </w:rPr>
        <w:t>E</w:t>
      </w:r>
      <w:r w:rsidR="00F853C2"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>
        <w:rPr>
          <w:rFonts w:ascii="Georgia" w:hAnsi="Georgia" w:cs="Arial-BoldMT"/>
          <w:b/>
          <w:bCs/>
          <w:sz w:val="18"/>
          <w:szCs w:val="18"/>
        </w:rPr>
        <w:t>C</w:t>
      </w:r>
      <w:r w:rsidR="00F853C2" w:rsidRPr="00F853C2">
        <w:rPr>
          <w:rFonts w:ascii="Georgia" w:hAnsi="Georgia" w:cs="Arial-BoldMT"/>
          <w:bCs/>
          <w:sz w:val="18"/>
          <w:szCs w:val="18"/>
        </w:rPr>
        <w:t xml:space="preserve"> </w:t>
      </w:r>
    </w:p>
    <w:p w:rsidR="00F42729" w:rsidRPr="0068399F" w:rsidRDefault="0068399F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68399F">
        <w:rPr>
          <w:rFonts w:ascii="Georgia" w:hAnsi="Georgia" w:cs="Arial-BoldMT"/>
          <w:bCs/>
          <w:sz w:val="18"/>
          <w:szCs w:val="18"/>
        </w:rPr>
        <w:t xml:space="preserve">O sucesso do ciclo de vida do vírus </w:t>
      </w:r>
      <w:proofErr w:type="spellStart"/>
      <w:r w:rsidRPr="0068399F">
        <w:rPr>
          <w:rFonts w:ascii="Georgia" w:hAnsi="Georgia" w:cs="Arial-BoldMT"/>
          <w:bCs/>
          <w:sz w:val="18"/>
          <w:szCs w:val="18"/>
        </w:rPr>
        <w:t>Zika</w:t>
      </w:r>
      <w:proofErr w:type="spellEnd"/>
      <w:r w:rsidRPr="0068399F">
        <w:rPr>
          <w:rFonts w:ascii="Georgia" w:hAnsi="Georgia" w:cs="Arial-BoldMT"/>
          <w:bCs/>
          <w:sz w:val="18"/>
          <w:szCs w:val="18"/>
        </w:rPr>
        <w:t xml:space="preserve"> depende da replicação do seu material genético no interior da célula hospedeira. Este mecanismo está associado à atividade da </w:t>
      </w:r>
      <w:proofErr w:type="gramStart"/>
      <w:r w:rsidRPr="0068399F">
        <w:rPr>
          <w:rFonts w:ascii="Georgia" w:hAnsi="Georgia" w:cs="Arial-BoldMT"/>
          <w:bCs/>
          <w:sz w:val="18"/>
          <w:szCs w:val="18"/>
        </w:rPr>
        <w:t>RNA</w:t>
      </w:r>
      <w:proofErr w:type="gramEnd"/>
      <w:r w:rsidRPr="0068399F">
        <w:rPr>
          <w:rFonts w:ascii="Georgia" w:hAnsi="Georgia" w:cs="Arial-BoldMT"/>
          <w:bCs/>
          <w:sz w:val="18"/>
          <w:szCs w:val="18"/>
        </w:rPr>
        <w:t xml:space="preserve"> polimerase viral, que copia a molécula de RNA viral usando nucleótidos na reação de polimerização. Como o </w:t>
      </w:r>
      <w:proofErr w:type="spellStart"/>
      <w:r w:rsidRPr="0068399F">
        <w:rPr>
          <w:rFonts w:ascii="Georgia" w:hAnsi="Georgia" w:cs="Arial-BoldMT"/>
          <w:bCs/>
          <w:sz w:val="18"/>
          <w:szCs w:val="18"/>
        </w:rPr>
        <w:t>sofosbuvir</w:t>
      </w:r>
      <w:proofErr w:type="spellEnd"/>
      <w:r w:rsidRPr="0068399F">
        <w:rPr>
          <w:rFonts w:ascii="Georgia" w:hAnsi="Georgia" w:cs="Arial-BoldMT"/>
          <w:bCs/>
          <w:sz w:val="18"/>
          <w:szCs w:val="18"/>
        </w:rPr>
        <w:t xml:space="preserve"> tem uma estrutura química semelhante ao uracilo e inibe a </w:t>
      </w:r>
      <w:proofErr w:type="gramStart"/>
      <w:r w:rsidRPr="0068399F">
        <w:rPr>
          <w:rFonts w:ascii="Georgia" w:hAnsi="Georgia" w:cs="Arial-BoldMT"/>
          <w:bCs/>
          <w:sz w:val="18"/>
          <w:szCs w:val="18"/>
        </w:rPr>
        <w:t>RNA</w:t>
      </w:r>
      <w:proofErr w:type="gramEnd"/>
      <w:r w:rsidRPr="0068399F">
        <w:rPr>
          <w:rFonts w:ascii="Georgia" w:hAnsi="Georgia" w:cs="Arial-BoldMT"/>
          <w:bCs/>
          <w:sz w:val="18"/>
          <w:szCs w:val="18"/>
        </w:rPr>
        <w:t xml:space="preserve"> polimerase, a replicação do RNA viral nas células é reduzida e o vírus é impedido de se reproduzir, atuando assim o </w:t>
      </w:r>
      <w:proofErr w:type="spellStart"/>
      <w:r w:rsidRPr="0068399F">
        <w:rPr>
          <w:rFonts w:ascii="Georgia" w:hAnsi="Georgia" w:cs="Arial-BoldMT"/>
          <w:bCs/>
          <w:sz w:val="18"/>
          <w:szCs w:val="18"/>
        </w:rPr>
        <w:t>sofosbuvir</w:t>
      </w:r>
      <w:proofErr w:type="spellEnd"/>
      <w:r w:rsidRPr="0068399F">
        <w:rPr>
          <w:rFonts w:ascii="Georgia" w:hAnsi="Georgia" w:cs="Arial-BoldMT"/>
          <w:bCs/>
          <w:sz w:val="18"/>
          <w:szCs w:val="18"/>
        </w:rPr>
        <w:t xml:space="preserve"> como antiviral.</w:t>
      </w:r>
    </w:p>
    <w:p w:rsidR="00444054" w:rsidRDefault="00444054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Pr="004A353C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68399F" w:rsidRPr="0068399F" w:rsidRDefault="0068399F" w:rsidP="0068399F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r w:rsidRPr="0068399F">
        <w:rPr>
          <w:rFonts w:ascii="Georgia" w:hAnsi="Georgia" w:cs="Arial-BoldMT"/>
          <w:bCs/>
          <w:sz w:val="18"/>
          <w:szCs w:val="18"/>
        </w:rPr>
        <w:t>A – I; B – II; C – II; D – III; E – I; F – II; G – I; H – II</w:t>
      </w:r>
    </w:p>
    <w:p w:rsidR="0068399F" w:rsidRPr="00F853C2" w:rsidRDefault="0068399F" w:rsidP="006839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68399F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(B)</w:t>
      </w:r>
    </w:p>
    <w:p w:rsidR="0068399F" w:rsidRPr="00F853C2" w:rsidRDefault="0068399F" w:rsidP="006839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68399F" w:rsidRDefault="0068399F" w:rsidP="0068399F">
      <w:pPr>
        <w:pStyle w:val="ListParagraph"/>
        <w:numPr>
          <w:ilvl w:val="0"/>
          <w:numId w:val="2"/>
        </w:numPr>
        <w:rPr>
          <w:rFonts w:ascii="Georgia" w:hAnsi="Georgia" w:cs="Arial-BoldMT"/>
          <w:bCs/>
          <w:sz w:val="18"/>
          <w:szCs w:val="18"/>
        </w:rPr>
      </w:pPr>
      <w:proofErr w:type="gramStart"/>
      <w:r w:rsidRPr="0068399F">
        <w:rPr>
          <w:rFonts w:ascii="Georgia" w:hAnsi="Georgia" w:cs="Arial-BoldMT"/>
          <w:bCs/>
          <w:sz w:val="18"/>
          <w:szCs w:val="18"/>
        </w:rPr>
        <w:t>a</w:t>
      </w:r>
      <w:proofErr w:type="gramEnd"/>
      <w:r w:rsidRPr="0068399F">
        <w:rPr>
          <w:rFonts w:ascii="Georgia" w:hAnsi="Georgia" w:cs="Arial-BoldMT"/>
          <w:bCs/>
          <w:sz w:val="18"/>
          <w:szCs w:val="18"/>
        </w:rPr>
        <w:t xml:space="preserve"> – 2; b – 6; c – 3; d – 4; e – 5</w:t>
      </w:r>
    </w:p>
    <w:p w:rsidR="0068399F" w:rsidRPr="0068399F" w:rsidRDefault="0068399F" w:rsidP="0068399F">
      <w:pPr>
        <w:pStyle w:val="ListParagraph"/>
        <w:numPr>
          <w:ilvl w:val="0"/>
          <w:numId w:val="2"/>
        </w:numPr>
        <w:spacing w:after="0"/>
        <w:rPr>
          <w:rFonts w:ascii="Georgia" w:hAnsi="Georgia" w:cs="Arial-BoldMT"/>
          <w:bCs/>
          <w:sz w:val="18"/>
          <w:szCs w:val="18"/>
        </w:rPr>
      </w:pPr>
      <w:r w:rsidRPr="0068399F">
        <w:rPr>
          <w:rFonts w:ascii="Georgia" w:hAnsi="Georgia" w:cs="Arial-BoldMT"/>
          <w:bCs/>
          <w:sz w:val="18"/>
          <w:szCs w:val="18"/>
        </w:rPr>
        <w:t xml:space="preserve">Os tumores geralmente têm telómeros mais curtos do que o tecido normal circundante, devido ao facto de as células tumorais se terem dividido mais vezes, perdendo parte das sequências dos telómeros a cada divisão celular. Contudo, a reativação da expressão da </w:t>
      </w:r>
      <w:proofErr w:type="spellStart"/>
      <w:r w:rsidRPr="0068399F">
        <w:rPr>
          <w:rFonts w:ascii="Georgia" w:hAnsi="Georgia" w:cs="Arial-BoldMT"/>
          <w:bCs/>
          <w:sz w:val="18"/>
          <w:szCs w:val="18"/>
        </w:rPr>
        <w:t>telomerase</w:t>
      </w:r>
      <w:proofErr w:type="spellEnd"/>
      <w:r w:rsidRPr="0068399F">
        <w:rPr>
          <w:rFonts w:ascii="Georgia" w:hAnsi="Georgia" w:cs="Arial-BoldMT"/>
          <w:bCs/>
          <w:sz w:val="18"/>
          <w:szCs w:val="18"/>
        </w:rPr>
        <w:t xml:space="preserve"> nas fases mais tardias do tumor permite que se mantenham de forma contínua em divisão, mantendo intactos os seus telómeros curtos, ao contrário das células dos tecidos vizinhos.  </w:t>
      </w:r>
    </w:p>
    <w:p w:rsidR="00600B28" w:rsidRDefault="00600B28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A9795C" w:rsidRPr="004A353C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68399F" w:rsidRPr="0068399F" w:rsidRDefault="0068399F" w:rsidP="0068399F">
      <w:pPr>
        <w:pStyle w:val="ListParagraph"/>
        <w:numPr>
          <w:ilvl w:val="0"/>
          <w:numId w:val="14"/>
        </w:numPr>
        <w:rPr>
          <w:rFonts w:ascii="Georgia" w:hAnsi="Georgia" w:cs="Arial-BoldMT"/>
          <w:bCs/>
          <w:sz w:val="18"/>
          <w:szCs w:val="18"/>
        </w:rPr>
      </w:pPr>
      <w:r w:rsidRPr="0068399F">
        <w:rPr>
          <w:rFonts w:ascii="Georgia" w:hAnsi="Georgia" w:cs="Arial-BoldMT"/>
          <w:bCs/>
          <w:sz w:val="18"/>
          <w:szCs w:val="18"/>
        </w:rPr>
        <w:t>A – V; B – V; C – F; D – F; E – V; F – V; G – F; H – V</w:t>
      </w:r>
    </w:p>
    <w:p w:rsidR="0068399F" w:rsidRPr="0068399F" w:rsidRDefault="0068399F" w:rsidP="0068399F">
      <w:pPr>
        <w:pStyle w:val="ListParagraph"/>
        <w:numPr>
          <w:ilvl w:val="0"/>
          <w:numId w:val="14"/>
        </w:numPr>
        <w:rPr>
          <w:rFonts w:ascii="Georgia" w:hAnsi="Georgia" w:cs="Arial-BoldMT"/>
          <w:bCs/>
          <w:sz w:val="18"/>
          <w:szCs w:val="18"/>
        </w:rPr>
      </w:pPr>
      <w:proofErr w:type="spellStart"/>
      <w:r w:rsidRPr="0068399F">
        <w:rPr>
          <w:rFonts w:ascii="Georgia" w:hAnsi="Georgia" w:cs="Arial-BoldMT"/>
          <w:bCs/>
          <w:i/>
          <w:sz w:val="18"/>
          <w:szCs w:val="18"/>
        </w:rPr>
        <w:t>Crossing-over</w:t>
      </w:r>
      <w:proofErr w:type="spellEnd"/>
      <w:r w:rsidRPr="0068399F">
        <w:rPr>
          <w:rFonts w:ascii="Georgia" w:hAnsi="Georgia" w:cs="Arial-BoldMT"/>
          <w:bCs/>
          <w:sz w:val="18"/>
          <w:szCs w:val="18"/>
        </w:rPr>
        <w:t xml:space="preserve"> e migração aleatória dos cromossomas homólogos de cada par homólogo para os polos da célula.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(D)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</w:t>
      </w:r>
      <w:r w:rsidR="0068399F">
        <w:rPr>
          <w:rFonts w:ascii="Georgia" w:hAnsi="Georgia" w:cs="Arial-BoldMT"/>
          <w:b/>
          <w:bCs/>
          <w:sz w:val="18"/>
          <w:szCs w:val="18"/>
        </w:rPr>
        <w:t>C</w:t>
      </w:r>
      <w:r w:rsidRPr="00BE185B">
        <w:rPr>
          <w:rFonts w:ascii="Georgia" w:hAnsi="Georgia" w:cs="Arial-BoldMT"/>
          <w:b/>
          <w:bCs/>
          <w:sz w:val="18"/>
          <w:szCs w:val="18"/>
        </w:rPr>
        <w:t>)</w:t>
      </w:r>
    </w:p>
    <w:p w:rsidR="0068399F" w:rsidRPr="00BE185B" w:rsidRDefault="0068399F" w:rsidP="0068399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Pr="00BE185B">
        <w:rPr>
          <w:rFonts w:ascii="Georgia" w:hAnsi="Georgia" w:cs="Arial-BoldMT"/>
          <w:b/>
          <w:bCs/>
          <w:sz w:val="18"/>
          <w:szCs w:val="18"/>
        </w:rPr>
        <w:t>)</w:t>
      </w:r>
    </w:p>
    <w:p w:rsidR="0068399F" w:rsidRPr="0068399F" w:rsidRDefault="0068399F" w:rsidP="0068399F">
      <w:pPr>
        <w:pStyle w:val="ListParagraph"/>
        <w:numPr>
          <w:ilvl w:val="0"/>
          <w:numId w:val="14"/>
        </w:numPr>
        <w:rPr>
          <w:rFonts w:ascii="Georgia" w:hAnsi="Georgia" w:cs="Arial-BoldMT"/>
          <w:bCs/>
          <w:sz w:val="18"/>
          <w:szCs w:val="18"/>
        </w:rPr>
      </w:pPr>
      <w:r w:rsidRPr="0068399F">
        <w:rPr>
          <w:rFonts w:ascii="Georgia" w:hAnsi="Georgia" w:cs="Arial-BoldMT"/>
          <w:bCs/>
          <w:sz w:val="18"/>
          <w:szCs w:val="18"/>
        </w:rPr>
        <w:t xml:space="preserve">Numa população ancestral, em consequência de mutações, originaram-se indivíduos com dois tipos de bicos (variabilidade intraespecífica). Quando expostos a fatores de pressão ambiental, nomeadamente secas que afetaram a disponibilidade de alimento (as sementes passaram a ser mais grossas e maiores), os indivíduos que possuem bicos </w:t>
      </w:r>
      <w:r w:rsidR="00842966">
        <w:rPr>
          <w:rFonts w:ascii="Georgia" w:hAnsi="Georgia" w:cs="Arial-BoldMT"/>
          <w:bCs/>
          <w:sz w:val="18"/>
          <w:szCs w:val="18"/>
        </w:rPr>
        <w:t>mais</w:t>
      </w:r>
      <w:bookmarkStart w:id="0" w:name="_GoBack"/>
      <w:bookmarkEnd w:id="0"/>
      <w:r w:rsidRPr="0068399F">
        <w:rPr>
          <w:rFonts w:ascii="Georgia" w:hAnsi="Georgia" w:cs="Arial-BoldMT"/>
          <w:bCs/>
          <w:sz w:val="18"/>
          <w:szCs w:val="18"/>
        </w:rPr>
        <w:t xml:space="preserve"> adaptados (mais grossos) irão sobreviver. Estes sobreviventes reproduzem-se e transmitem as suas cara</w:t>
      </w:r>
      <w:r>
        <w:rPr>
          <w:rFonts w:ascii="Georgia" w:hAnsi="Georgia" w:cs="Arial-BoldMT"/>
          <w:bCs/>
          <w:sz w:val="18"/>
          <w:szCs w:val="18"/>
        </w:rPr>
        <w:t>c</w:t>
      </w:r>
      <w:r w:rsidRPr="0068399F">
        <w:rPr>
          <w:rFonts w:ascii="Georgia" w:hAnsi="Georgia" w:cs="Arial-BoldMT"/>
          <w:bCs/>
          <w:sz w:val="18"/>
          <w:szCs w:val="18"/>
        </w:rPr>
        <w:t>te</w:t>
      </w:r>
      <w:r>
        <w:rPr>
          <w:rFonts w:ascii="Georgia" w:hAnsi="Georgia" w:cs="Arial-BoldMT"/>
          <w:bCs/>
          <w:sz w:val="18"/>
          <w:szCs w:val="18"/>
        </w:rPr>
        <w:t xml:space="preserve">rísticas às gerações </w:t>
      </w:r>
      <w:proofErr w:type="gramStart"/>
      <w:r>
        <w:rPr>
          <w:rFonts w:ascii="Georgia" w:hAnsi="Georgia" w:cs="Arial-BoldMT"/>
          <w:bCs/>
          <w:sz w:val="18"/>
          <w:szCs w:val="18"/>
        </w:rPr>
        <w:t>seguintes</w:t>
      </w:r>
      <w:proofErr w:type="gramEnd"/>
      <w:r>
        <w:rPr>
          <w:rFonts w:ascii="Georgia" w:hAnsi="Georgia" w:cs="Arial-BoldMT"/>
          <w:bCs/>
          <w:sz w:val="18"/>
          <w:szCs w:val="18"/>
        </w:rPr>
        <w:t>.</w:t>
      </w:r>
    </w:p>
    <w:p w:rsidR="0068399F" w:rsidRPr="0068399F" w:rsidRDefault="0068399F" w:rsidP="0068399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</w:t>
      </w:r>
      <w:r>
        <w:rPr>
          <w:rFonts w:ascii="Georgia" w:hAnsi="Georgia" w:cs="Arial-BoldMT"/>
          <w:b/>
          <w:bCs/>
          <w:sz w:val="18"/>
          <w:szCs w:val="18"/>
        </w:rPr>
        <w:t>B</w:t>
      </w:r>
      <w:r w:rsidRPr="00BE185B">
        <w:rPr>
          <w:rFonts w:ascii="Georgia" w:hAnsi="Georgia" w:cs="Arial-BoldMT"/>
          <w:b/>
          <w:bCs/>
          <w:sz w:val="18"/>
          <w:szCs w:val="18"/>
        </w:rPr>
        <w:t>)</w:t>
      </w:r>
    </w:p>
    <w:p w:rsidR="0068399F" w:rsidRPr="0068399F" w:rsidRDefault="0068399F" w:rsidP="0068399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proofErr w:type="gramStart"/>
      <w:r w:rsidRPr="0068399F">
        <w:rPr>
          <w:rFonts w:ascii="Georgia" w:hAnsi="Georgia" w:cs="Arial-BoldMT"/>
          <w:bCs/>
          <w:sz w:val="18"/>
          <w:szCs w:val="18"/>
        </w:rPr>
        <w:t>O facto de o estudo se ter realizado numa ilha n0 isolado arquipélago das Galápagos e de os tentilhões estudados não voarem evitaram</w:t>
      </w:r>
      <w:proofErr w:type="gramEnd"/>
      <w:r w:rsidRPr="0068399F">
        <w:rPr>
          <w:rFonts w:ascii="Georgia" w:hAnsi="Georgia" w:cs="Arial-BoldMT"/>
          <w:bCs/>
          <w:sz w:val="18"/>
          <w:szCs w:val="18"/>
        </w:rPr>
        <w:t xml:space="preserve"> a ocorrência de fluxos genéticos, impedindo o cruzamento e o surgimento de novas combinações génicas que conferissem vantagem no mecanismo de seleção natural em resposta à pressão ambiental. Assim, as condições em que o estudo foi efetuado permitiram analisar os efeitos da seleção natural numa população geograficamente isolada em que os indivíduos não podiam migrar para condições mais favoráveis.</w:t>
      </w:r>
    </w:p>
    <w:p w:rsidR="00875037" w:rsidRPr="00F943ED" w:rsidRDefault="00875037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D13BBD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IV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>Opção</w:t>
      </w:r>
      <w:r w:rsidRPr="00F943ED">
        <w:rPr>
          <w:rFonts w:ascii="Georgia" w:hAnsi="Georgia" w:cs="Arial-BoldMT"/>
          <w:b/>
          <w:bCs/>
          <w:sz w:val="18"/>
          <w:szCs w:val="18"/>
        </w:rPr>
        <w:t xml:space="preserve"> (</w:t>
      </w:r>
      <w:r w:rsidR="007A00B0">
        <w:rPr>
          <w:rFonts w:ascii="Georgia" w:hAnsi="Georgia" w:cs="Arial-BoldMT"/>
          <w:b/>
          <w:bCs/>
          <w:sz w:val="18"/>
          <w:szCs w:val="18"/>
        </w:rPr>
        <w:t>B</w:t>
      </w:r>
      <w:r w:rsidRPr="00F943ED">
        <w:rPr>
          <w:rFonts w:ascii="Georgia" w:hAnsi="Georgia" w:cs="Arial-BoldMT"/>
          <w:b/>
          <w:bCs/>
          <w:sz w:val="18"/>
          <w:szCs w:val="18"/>
        </w:rPr>
        <w:t>)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943ED">
        <w:rPr>
          <w:rFonts w:ascii="Georgia" w:hAnsi="Georgia" w:cs="Arial-BoldMT"/>
          <w:b/>
          <w:bCs/>
          <w:sz w:val="18"/>
          <w:szCs w:val="18"/>
        </w:rPr>
        <w:t>(</w:t>
      </w:r>
      <w:r w:rsidR="007A00B0">
        <w:rPr>
          <w:rFonts w:ascii="Georgia" w:hAnsi="Georgia" w:cs="Arial-BoldMT"/>
          <w:b/>
          <w:bCs/>
          <w:sz w:val="18"/>
          <w:szCs w:val="18"/>
        </w:rPr>
        <w:t>A</w:t>
      </w:r>
      <w:r w:rsidRPr="00F943ED">
        <w:rPr>
          <w:rFonts w:ascii="Georgia" w:hAnsi="Georgia" w:cs="Arial-BoldMT"/>
          <w:b/>
          <w:bCs/>
          <w:sz w:val="18"/>
          <w:szCs w:val="18"/>
        </w:rPr>
        <w:t>)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943ED">
        <w:rPr>
          <w:rFonts w:ascii="Georgia" w:hAnsi="Georgia" w:cs="Arial-BoldMT"/>
          <w:b/>
          <w:bCs/>
          <w:sz w:val="18"/>
          <w:szCs w:val="18"/>
        </w:rPr>
        <w:t>(</w:t>
      </w:r>
      <w:r w:rsidR="007A00B0">
        <w:rPr>
          <w:rFonts w:ascii="Georgia" w:hAnsi="Georgia" w:cs="Arial-BoldMT"/>
          <w:b/>
          <w:bCs/>
          <w:sz w:val="18"/>
          <w:szCs w:val="18"/>
        </w:rPr>
        <w:t>A</w:t>
      </w:r>
      <w:r w:rsidRPr="00F943ED">
        <w:rPr>
          <w:rFonts w:ascii="Georgia" w:hAnsi="Georgia" w:cs="Arial-BoldMT"/>
          <w:b/>
          <w:bCs/>
          <w:sz w:val="18"/>
          <w:szCs w:val="18"/>
        </w:rPr>
        <w:t>)</w:t>
      </w:r>
    </w:p>
    <w:p w:rsidR="007A00B0" w:rsidRDefault="007A00B0" w:rsidP="007A00B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7A00B0">
        <w:rPr>
          <w:rFonts w:ascii="Georgia" w:hAnsi="Georgia" w:cs="Arial-BoldMT"/>
          <w:bCs/>
          <w:sz w:val="18"/>
          <w:szCs w:val="18"/>
        </w:rPr>
        <w:t>A velocidade de propagação das ondas sísmicas varia em função das cara</w:t>
      </w:r>
      <w:r>
        <w:rPr>
          <w:rFonts w:ascii="Georgia" w:hAnsi="Georgia" w:cs="Arial-BoldMT"/>
          <w:bCs/>
          <w:sz w:val="18"/>
          <w:szCs w:val="18"/>
        </w:rPr>
        <w:t>c</w:t>
      </w:r>
      <w:r w:rsidRPr="007A00B0">
        <w:rPr>
          <w:rFonts w:ascii="Georgia" w:hAnsi="Georgia" w:cs="Arial-BoldMT"/>
          <w:bCs/>
          <w:sz w:val="18"/>
          <w:szCs w:val="18"/>
        </w:rPr>
        <w:t xml:space="preserve">terísticas físicas dos materiais que atravessam. A velocidade das ondas aumenta quando estas atravessam materiais </w:t>
      </w:r>
      <w:r w:rsidRPr="007A00B0">
        <w:rPr>
          <w:rFonts w:ascii="Georgia" w:hAnsi="Georgia" w:cs="Arial-BoldMT"/>
          <w:bCs/>
          <w:sz w:val="18"/>
          <w:szCs w:val="18"/>
        </w:rPr>
        <w:lastRenderedPageBreak/>
        <w:t>mais rígidos. Assim, o estudo da variação da velocidade de propagação das ondas sísmicas em profundidade permite cara</w:t>
      </w:r>
      <w:r>
        <w:rPr>
          <w:rFonts w:ascii="Georgia" w:hAnsi="Georgia" w:cs="Arial-BoldMT"/>
          <w:bCs/>
          <w:sz w:val="18"/>
          <w:szCs w:val="18"/>
        </w:rPr>
        <w:t>c</w:t>
      </w:r>
      <w:r w:rsidRPr="007A00B0">
        <w:rPr>
          <w:rFonts w:ascii="Georgia" w:hAnsi="Georgia" w:cs="Arial-BoldMT"/>
          <w:bCs/>
          <w:sz w:val="18"/>
          <w:szCs w:val="18"/>
        </w:rPr>
        <w:t>terizar as camadas que atravessam, permitindo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7A00B0">
        <w:rPr>
          <w:rFonts w:ascii="Georgia" w:hAnsi="Georgia" w:cs="Arial-BoldMT"/>
          <w:bCs/>
          <w:sz w:val="18"/>
          <w:szCs w:val="18"/>
        </w:rPr>
        <w:t xml:space="preserve"> no caso de Nova Madrid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7A00B0">
        <w:rPr>
          <w:rFonts w:ascii="Georgia" w:hAnsi="Georgia" w:cs="Arial-BoldMT"/>
          <w:bCs/>
          <w:sz w:val="18"/>
          <w:szCs w:val="18"/>
        </w:rPr>
        <w:t xml:space="preserve"> verificar a existência de um rifte antigo e de corpos plutónicos mais densos.</w:t>
      </w:r>
    </w:p>
    <w:p w:rsidR="00704C60" w:rsidRPr="007A00B0" w:rsidRDefault="007A00B0" w:rsidP="007A00B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>Opção</w:t>
      </w:r>
      <w:r w:rsidRPr="00F943ED">
        <w:rPr>
          <w:rFonts w:ascii="Georgia" w:hAnsi="Georgia" w:cs="Arial-BoldMT"/>
          <w:b/>
          <w:bCs/>
          <w:sz w:val="18"/>
          <w:szCs w:val="18"/>
        </w:rPr>
        <w:t xml:space="preserve"> (</w:t>
      </w:r>
      <w:r>
        <w:rPr>
          <w:rFonts w:ascii="Georgia" w:hAnsi="Georgia" w:cs="Arial-BoldMT"/>
          <w:b/>
          <w:bCs/>
          <w:sz w:val="18"/>
          <w:szCs w:val="18"/>
        </w:rPr>
        <w:t>D</w:t>
      </w:r>
      <w:r w:rsidRPr="00F943ED">
        <w:rPr>
          <w:rFonts w:ascii="Georgia" w:hAnsi="Georgia" w:cs="Arial-BoldMT"/>
          <w:b/>
          <w:bCs/>
          <w:sz w:val="18"/>
          <w:szCs w:val="18"/>
        </w:rPr>
        <w:t>)</w:t>
      </w:r>
    </w:p>
    <w:sectPr w:rsidR="00704C60" w:rsidRPr="007A00B0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878" w:rsidRDefault="00045878" w:rsidP="00DB7725">
      <w:pPr>
        <w:spacing w:after="0" w:line="240" w:lineRule="auto"/>
      </w:pPr>
      <w:r>
        <w:separator/>
      </w:r>
    </w:p>
  </w:endnote>
  <w:endnote w:type="continuationSeparator" w:id="0">
    <w:p w:rsidR="00045878" w:rsidRDefault="00045878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08D41A36" wp14:editId="4BFE32D4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045878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7A00B0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F853C2">
                      <w:rPr>
                        <w:color w:val="808080" w:themeColor="background1" w:themeShade="80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w:r>
        <w:r w:rsidR="00045878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878" w:rsidRDefault="00045878" w:rsidP="00DB7725">
      <w:pPr>
        <w:spacing w:after="0" w:line="240" w:lineRule="auto"/>
      </w:pPr>
      <w:r>
        <w:separator/>
      </w:r>
    </w:p>
  </w:footnote>
  <w:footnote w:type="continuationSeparator" w:id="0">
    <w:p w:rsidR="00045878" w:rsidRDefault="00045878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9"/>
  </w:num>
  <w:num w:numId="10">
    <w:abstractNumId w:val="0"/>
  </w:num>
  <w:num w:numId="11">
    <w:abstractNumId w:val="11"/>
  </w:num>
  <w:num w:numId="12">
    <w:abstractNumId w:val="10"/>
  </w:num>
  <w:num w:numId="13">
    <w:abstractNumId w:val="3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587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33F27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C2426"/>
    <w:rsid w:val="004D3575"/>
    <w:rsid w:val="004D52F7"/>
    <w:rsid w:val="004D6330"/>
    <w:rsid w:val="004E2ABF"/>
    <w:rsid w:val="004E65B5"/>
    <w:rsid w:val="004E7F35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14C2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399F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C60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53C0"/>
    <w:rsid w:val="007961B2"/>
    <w:rsid w:val="007A00B0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2966"/>
    <w:rsid w:val="00844D73"/>
    <w:rsid w:val="008546C8"/>
    <w:rsid w:val="00854A98"/>
    <w:rsid w:val="00855FDD"/>
    <w:rsid w:val="00865BE0"/>
    <w:rsid w:val="00875037"/>
    <w:rsid w:val="00882416"/>
    <w:rsid w:val="00884700"/>
    <w:rsid w:val="00886BEA"/>
    <w:rsid w:val="0089026C"/>
    <w:rsid w:val="00891FC4"/>
    <w:rsid w:val="008A78D1"/>
    <w:rsid w:val="008C136E"/>
    <w:rsid w:val="008C529A"/>
    <w:rsid w:val="008D4D60"/>
    <w:rsid w:val="008F0F0E"/>
    <w:rsid w:val="008F49D4"/>
    <w:rsid w:val="00901B37"/>
    <w:rsid w:val="009108DC"/>
    <w:rsid w:val="0091775D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76D7C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3927"/>
    <w:rsid w:val="00D45ED0"/>
    <w:rsid w:val="00D511EA"/>
    <w:rsid w:val="00D522BA"/>
    <w:rsid w:val="00D52500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E8767-7633-43CC-9287-E48D46B2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464</Words>
  <Characters>2510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18</cp:revision>
  <dcterms:created xsi:type="dcterms:W3CDTF">2016-01-16T21:38:00Z</dcterms:created>
  <dcterms:modified xsi:type="dcterms:W3CDTF">2016-10-13T14:36:00Z</dcterms:modified>
</cp:coreProperties>
</file>