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892" w:rsidRPr="002A5D33" w:rsidRDefault="007233F2" w:rsidP="007233F2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17472" behindDoc="1" locked="0" layoutInCell="1" allowOverlap="1" wp14:anchorId="7F503719" wp14:editId="435EB38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96000"/>
                <wp:effectExtent l="0" t="0" r="19050" b="23495"/>
                <wp:wrapNone/>
                <wp:docPr id="1708" name="Caixa de texto 1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1C666D" w:rsidRDefault="00B96830" w:rsidP="003672F5">
                            <w:pPr>
                              <w:pStyle w:val="Ttulo"/>
                              <w:spacing w:before="0"/>
                              <w:ind w:left="720" w:hanging="578"/>
                              <w:rPr>
                                <w:spacing w:val="-6"/>
                              </w:rPr>
                            </w:pPr>
                            <w:r w:rsidRPr="001C666D">
                              <w:rPr>
                                <w:spacing w:val="-6"/>
                              </w:rPr>
                              <w:t>Matriz da Ficha de avaliação da componente laboratorial n.º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1C666D">
                              <w:rPr>
                                <w:spacing w:val="-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03719" id="Caixa de texto 1708" o:spid="_x0000_s1052" type="#_x0000_t202" style="position:absolute;left:0;text-align:left;margin-left:0;margin-top:0;width:448.5pt;height:31.2pt;z-index:-25149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" fillcolor="#5a5a5a [2109]" strokeweight=".5pt">
                <v:textbox>
                  <w:txbxContent>
                    <w:p w:rsidR="00B96830" w:rsidRPr="001C666D" w:rsidRDefault="00B96830" w:rsidP="003672F5">
                      <w:pPr>
                        <w:pStyle w:val="Ttulo"/>
                        <w:spacing w:before="0"/>
                        <w:ind w:left="720" w:hanging="578"/>
                        <w:rPr>
                          <w:spacing w:val="-6"/>
                        </w:rPr>
                      </w:pPr>
                      <w:r w:rsidRPr="001C666D">
                        <w:rPr>
                          <w:spacing w:val="-6"/>
                        </w:rPr>
                        <w:t>Matriz da Ficha de avaliação da componente laboratorial n.º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 w:rsidRPr="001C666D">
                        <w:rPr>
                          <w:spacing w:val="-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D66F3E" w:rsidRPr="002A5D33" w:rsidRDefault="00D66F3E" w:rsidP="007233F2">
      <w:pPr>
        <w:pStyle w:val="Normal1"/>
      </w:pPr>
    </w:p>
    <w:p w:rsidR="001447C4" w:rsidRPr="002A5D33" w:rsidRDefault="001447C4" w:rsidP="007233F2">
      <w:pPr>
        <w:pStyle w:val="Normal1"/>
      </w:pPr>
    </w:p>
    <w:p w:rsidR="001447C4" w:rsidRPr="00487DE2" w:rsidRDefault="006002E6" w:rsidP="007233F2">
      <w:pPr>
        <w:pStyle w:val="Normal1"/>
        <w:rPr>
          <w:b/>
          <w:sz w:val="20"/>
          <w:szCs w:val="20"/>
        </w:rPr>
      </w:pPr>
      <w:r w:rsidRPr="00487DE2">
        <w:rPr>
          <w:b/>
          <w:sz w:val="20"/>
          <w:szCs w:val="20"/>
        </w:rPr>
        <w:t xml:space="preserve">Conteúdos: </w:t>
      </w:r>
    </w:p>
    <w:p w:rsidR="000B73FB" w:rsidRPr="002A5D33" w:rsidRDefault="00D44384" w:rsidP="00765C92">
      <w:pPr>
        <w:pStyle w:val="Normal1"/>
        <w:numPr>
          <w:ilvl w:val="0"/>
          <w:numId w:val="221"/>
        </w:numPr>
        <w:spacing w:after="0"/>
      </w:pPr>
      <w:r w:rsidRPr="002A5D33">
        <w:t xml:space="preserve">AL </w:t>
      </w:r>
      <w:r w:rsidR="000B73FB" w:rsidRPr="002A5D33">
        <w:t>1.1 Queda livre: força gravítica e aceleração da gravidade.</w:t>
      </w:r>
    </w:p>
    <w:p w:rsidR="000B73FB" w:rsidRPr="002A5D33" w:rsidRDefault="00D44384" w:rsidP="00765C92">
      <w:pPr>
        <w:pStyle w:val="Normal1"/>
        <w:numPr>
          <w:ilvl w:val="0"/>
          <w:numId w:val="221"/>
        </w:numPr>
        <w:spacing w:after="0"/>
      </w:pPr>
      <w:r w:rsidRPr="002A5D33">
        <w:t xml:space="preserve">AL </w:t>
      </w:r>
      <w:r w:rsidR="000B73FB" w:rsidRPr="002A5D33">
        <w:t>1.2 Forças nos movimentos retilíneos acelerado e uniforme.</w:t>
      </w:r>
    </w:p>
    <w:p w:rsidR="00D66F3E" w:rsidRPr="002A5D33" w:rsidRDefault="00D44384" w:rsidP="00765C92">
      <w:pPr>
        <w:pStyle w:val="Normal1"/>
        <w:numPr>
          <w:ilvl w:val="0"/>
          <w:numId w:val="221"/>
        </w:numPr>
        <w:spacing w:after="0"/>
      </w:pPr>
      <w:r w:rsidRPr="002A5D33">
        <w:t xml:space="preserve">AL </w:t>
      </w:r>
      <w:r w:rsidR="000B73FB" w:rsidRPr="002A5D33">
        <w:t>1.3 Movimento uniformemente retardado: velocidade e deslocamento.</w:t>
      </w:r>
    </w:p>
    <w:p w:rsidR="007233F2" w:rsidRDefault="007233F2" w:rsidP="007233F2">
      <w:pPr>
        <w:pStyle w:val="Normal1"/>
        <w:rPr>
          <w:b/>
        </w:rPr>
      </w:pPr>
    </w:p>
    <w:p w:rsidR="00584256" w:rsidRPr="00487DE2" w:rsidRDefault="00584256" w:rsidP="007233F2">
      <w:pPr>
        <w:pStyle w:val="Normal1"/>
        <w:rPr>
          <w:b/>
          <w:sz w:val="20"/>
          <w:szCs w:val="20"/>
        </w:rPr>
      </w:pPr>
      <w:r w:rsidRPr="00487DE2">
        <w:rPr>
          <w:b/>
          <w:sz w:val="20"/>
          <w:szCs w:val="20"/>
        </w:rPr>
        <w:t>Metas:</w:t>
      </w:r>
    </w:p>
    <w:p w:rsidR="00584256" w:rsidRPr="002A5D33" w:rsidRDefault="00702057" w:rsidP="00765C92">
      <w:pPr>
        <w:pStyle w:val="Normal1"/>
        <w:numPr>
          <w:ilvl w:val="0"/>
          <w:numId w:val="222"/>
        </w:numPr>
        <w:spacing w:after="0"/>
      </w:pPr>
      <w:r w:rsidRPr="002A5D33">
        <w:t>Determinar a aceleração num movimento de queda (medição indireta) a partir da definição de aceleração média e compará-la com o valor tabelado para a aceleração da gravidade.</w:t>
      </w:r>
    </w:p>
    <w:p w:rsidR="003C3B73" w:rsidRPr="002A5D33" w:rsidRDefault="003C3B73" w:rsidP="00765C92">
      <w:pPr>
        <w:pStyle w:val="Normal1"/>
        <w:numPr>
          <w:ilvl w:val="0"/>
          <w:numId w:val="222"/>
        </w:numPr>
        <w:spacing w:after="0"/>
      </w:pPr>
      <w:r w:rsidRPr="002A5D33">
        <w:t>Avaliar a exatidão do resultado e calcular o erro percentual, supondo uma queda livre.</w:t>
      </w:r>
    </w:p>
    <w:p w:rsidR="003C3B73" w:rsidRPr="002A5D33" w:rsidRDefault="00487DE2" w:rsidP="00765C92">
      <w:pPr>
        <w:pStyle w:val="Normal1"/>
        <w:numPr>
          <w:ilvl w:val="0"/>
          <w:numId w:val="222"/>
        </w:numPr>
        <w:spacing w:after="0"/>
      </w:pPr>
      <w:r>
        <w:t>Identificar as forç</w:t>
      </w:r>
      <w:r w:rsidR="003C3B73" w:rsidRPr="002A5D33">
        <w:t>as que atuam sobre um carrinho que se move num plano horizontal.</w:t>
      </w:r>
    </w:p>
    <w:p w:rsidR="003C3B73" w:rsidRPr="002A5D33" w:rsidRDefault="00487DE2" w:rsidP="00765C92">
      <w:pPr>
        <w:pStyle w:val="Normal1"/>
        <w:numPr>
          <w:ilvl w:val="0"/>
          <w:numId w:val="222"/>
        </w:numPr>
        <w:spacing w:after="0"/>
      </w:pPr>
      <w:r>
        <w:t>Concluir qual é</w:t>
      </w:r>
      <w:r w:rsidR="003C3B73" w:rsidRPr="002A5D33">
        <w:t xml:space="preserve"> o tipo de movimento do carrinho quando a resultante das forças que atuam sobre ele</w:t>
      </w:r>
      <w:r w:rsidR="00CA12A8" w:rsidRPr="002A5D33">
        <w:t xml:space="preserve"> </w:t>
      </w:r>
      <w:r w:rsidR="003C3B73" w:rsidRPr="002A5D33">
        <w:t>passa a ser nula.</w:t>
      </w:r>
    </w:p>
    <w:p w:rsidR="003C3B73" w:rsidRPr="002A5D33" w:rsidRDefault="00CA12A8" w:rsidP="00765C92">
      <w:pPr>
        <w:pStyle w:val="Normal1"/>
        <w:numPr>
          <w:ilvl w:val="0"/>
          <w:numId w:val="222"/>
        </w:numPr>
        <w:spacing w:after="0"/>
      </w:pPr>
      <w:r w:rsidRPr="002A5D33">
        <w:t>Explicar</w:t>
      </w:r>
      <w:r w:rsidR="003C3B73" w:rsidRPr="002A5D33">
        <w:t>, com base no gráfico velocidade-tempo, se os efeitos do atrito são ou não desprezáveis.</w:t>
      </w:r>
    </w:p>
    <w:p w:rsidR="003C3B73" w:rsidRPr="002A5D33" w:rsidRDefault="003C3B73" w:rsidP="00765C92">
      <w:pPr>
        <w:pStyle w:val="Normal1"/>
        <w:numPr>
          <w:ilvl w:val="0"/>
          <w:numId w:val="222"/>
        </w:numPr>
        <w:spacing w:after="0"/>
      </w:pPr>
      <w:r w:rsidRPr="002A5D33">
        <w:t>Justificar que o movimento do bloco que desliza sobre um plano horizontal, acabando por parar,</w:t>
      </w:r>
      <w:r w:rsidR="00136F09" w:rsidRPr="002A5D33">
        <w:t xml:space="preserve"> </w:t>
      </w:r>
      <w:r w:rsidRPr="002A5D33">
        <w:t>é uniformemente retardado.</w:t>
      </w:r>
    </w:p>
    <w:p w:rsidR="003C3B73" w:rsidRPr="002A5D33" w:rsidRDefault="003C3B73" w:rsidP="00765C92">
      <w:pPr>
        <w:pStyle w:val="Normal1"/>
        <w:numPr>
          <w:ilvl w:val="0"/>
          <w:numId w:val="222"/>
        </w:numPr>
        <w:spacing w:after="0"/>
      </w:pPr>
      <w:r w:rsidRPr="002A5D33">
        <w:t>Obter a expressão que relaciona o quadrado da velocidade e o deslocamento de um corpo com movimento</w:t>
      </w:r>
      <w:r w:rsidR="007D1B76" w:rsidRPr="002A5D33">
        <w:t xml:space="preserve"> </w:t>
      </w:r>
      <w:r w:rsidRPr="002A5D33">
        <w:t>uniformemente variado a partir das equações da posição e da velocidade em função do tempo.</w:t>
      </w:r>
    </w:p>
    <w:p w:rsidR="003C3B73" w:rsidRPr="002A5D33" w:rsidRDefault="003C3B73" w:rsidP="00765C92">
      <w:pPr>
        <w:pStyle w:val="Normal1"/>
        <w:numPr>
          <w:ilvl w:val="0"/>
          <w:numId w:val="222"/>
        </w:numPr>
        <w:spacing w:after="0"/>
      </w:pPr>
      <w:r w:rsidRPr="002A5D33">
        <w:t>Concluir que num movimento uniformemente retardado, em que o corpo acaba por parar, o quadrado</w:t>
      </w:r>
      <w:r w:rsidR="00D40737" w:rsidRPr="002A5D33">
        <w:t xml:space="preserve"> </w:t>
      </w:r>
      <w:r w:rsidRPr="002A5D33">
        <w:t>da velocidade é diretamente proporcional ao deslocamento e interpretar o significado da constante</w:t>
      </w:r>
      <w:r w:rsidR="00D40737" w:rsidRPr="002A5D33">
        <w:t xml:space="preserve"> </w:t>
      </w:r>
      <w:r w:rsidRPr="002A5D33">
        <w:t>de proporcionalidade.</w:t>
      </w:r>
    </w:p>
    <w:p w:rsidR="003C3B73" w:rsidRPr="002A5D33" w:rsidRDefault="003C3B73" w:rsidP="00765C92">
      <w:pPr>
        <w:pStyle w:val="Normal1"/>
        <w:numPr>
          <w:ilvl w:val="0"/>
          <w:numId w:val="222"/>
        </w:numPr>
        <w:spacing w:after="0"/>
      </w:pPr>
      <w:r w:rsidRPr="002A5D33">
        <w:t>Indicar a medida de uma grandeza quando há um conjunto de medições diretas efetuadas nas mesmas</w:t>
      </w:r>
      <w:r w:rsidR="00E201FA" w:rsidRPr="002A5D33">
        <w:t xml:space="preserve"> </w:t>
      </w:r>
      <w:r w:rsidRPr="002A5D33">
        <w:t>condições, tomando como valor mais provável o valor médio.</w:t>
      </w:r>
    </w:p>
    <w:p w:rsidR="003C3B73" w:rsidRPr="002A5D33" w:rsidRDefault="003C3B73" w:rsidP="00765C92">
      <w:pPr>
        <w:pStyle w:val="Normal1"/>
        <w:numPr>
          <w:ilvl w:val="0"/>
          <w:numId w:val="222"/>
        </w:numPr>
        <w:spacing w:after="0"/>
      </w:pPr>
      <w:r w:rsidRPr="002A5D33">
        <w:t>Calcular o erro relativo expresso em percentagem e indicar a medida da grandeza.</w:t>
      </w:r>
    </w:p>
    <w:p w:rsidR="003C3B73" w:rsidRPr="002A5D33" w:rsidRDefault="00E4760A" w:rsidP="00765C92">
      <w:pPr>
        <w:pStyle w:val="Normal1"/>
        <w:numPr>
          <w:ilvl w:val="0"/>
          <w:numId w:val="222"/>
        </w:numPr>
        <w:spacing w:after="0"/>
      </w:pPr>
      <w:r w:rsidRPr="002A5D33">
        <w:t xml:space="preserve">Associar </w:t>
      </w:r>
      <w:r w:rsidR="003C3B73" w:rsidRPr="002A5D33">
        <w:t>a precisão das medidas à sua maior ou menor dispersão, quando há um conjunto de medições</w:t>
      </w:r>
      <w:r w:rsidR="00C924EF" w:rsidRPr="002A5D33">
        <w:t xml:space="preserve"> </w:t>
      </w:r>
      <w:r w:rsidR="003C3B73" w:rsidRPr="002A5D33">
        <w:t>diretas, e aos erros aleatórios.</w:t>
      </w:r>
    </w:p>
    <w:p w:rsidR="00527B78" w:rsidRDefault="003C3B73" w:rsidP="00765C92">
      <w:pPr>
        <w:pStyle w:val="Normal1"/>
        <w:numPr>
          <w:ilvl w:val="0"/>
          <w:numId w:val="222"/>
        </w:numPr>
        <w:spacing w:after="0"/>
      </w:pPr>
      <w:r w:rsidRPr="002A5D33">
        <w:t>Utilizar regras de contagem de algarismos significativos.</w:t>
      </w:r>
    </w:p>
    <w:p w:rsidR="007233F2" w:rsidRDefault="007233F2" w:rsidP="007233F2">
      <w:pPr>
        <w:pStyle w:val="Normal1"/>
      </w:pPr>
    </w:p>
    <w:tbl>
      <w:tblPr>
        <w:tblStyle w:val="Tabelacomgrelha"/>
        <w:tblW w:w="9166" w:type="dxa"/>
        <w:tblInd w:w="108" w:type="dxa"/>
        <w:tblLook w:val="04A0" w:firstRow="1" w:lastRow="0" w:firstColumn="1" w:lastColumn="0" w:noHBand="0" w:noVBand="1"/>
      </w:tblPr>
      <w:tblGrid>
        <w:gridCol w:w="1985"/>
        <w:gridCol w:w="2977"/>
        <w:gridCol w:w="1912"/>
        <w:gridCol w:w="2292"/>
      </w:tblGrid>
      <w:tr w:rsidR="007233F2" w:rsidRPr="00974E99" w:rsidTr="00862468">
        <w:trPr>
          <w:trHeight w:val="283"/>
        </w:trPr>
        <w:tc>
          <w:tcPr>
            <w:tcW w:w="9166" w:type="dxa"/>
            <w:gridSpan w:val="4"/>
            <w:shd w:val="clear" w:color="auto" w:fill="BFBFBF" w:themeFill="background1" w:themeFillShade="BF"/>
            <w:vAlign w:val="center"/>
          </w:tcPr>
          <w:p w:rsidR="007233F2" w:rsidRPr="00ED2181" w:rsidRDefault="007233F2" w:rsidP="007233F2">
            <w:pPr>
              <w:pStyle w:val="Normal1"/>
              <w:spacing w:before="120"/>
              <w:jc w:val="center"/>
              <w:rPr>
                <w:b/>
              </w:rPr>
            </w:pPr>
            <w:r w:rsidRPr="00ED2181">
              <w:rPr>
                <w:b/>
              </w:rPr>
              <w:t xml:space="preserve">ESTRUTURA DA FICHA </w:t>
            </w:r>
            <w:r>
              <w:rPr>
                <w:b/>
              </w:rPr>
              <w:t>LABORATORIAL</w:t>
            </w:r>
          </w:p>
        </w:tc>
      </w:tr>
      <w:tr w:rsidR="007233F2" w:rsidRPr="00974E99" w:rsidTr="00862468">
        <w:trPr>
          <w:trHeight w:val="227"/>
        </w:trPr>
        <w:tc>
          <w:tcPr>
            <w:tcW w:w="4962" w:type="dxa"/>
            <w:gridSpan w:val="2"/>
            <w:shd w:val="clear" w:color="auto" w:fill="D9D9D9" w:themeFill="background1" w:themeFillShade="D9"/>
            <w:vAlign w:val="center"/>
          </w:tcPr>
          <w:p w:rsidR="007233F2" w:rsidRPr="00974E99" w:rsidRDefault="007233F2" w:rsidP="00862468">
            <w:pPr>
              <w:pStyle w:val="Normal1"/>
              <w:spacing w:after="0"/>
              <w:jc w:val="center"/>
            </w:pPr>
            <w:r>
              <w:t>T</w:t>
            </w:r>
            <w:r w:rsidRPr="00974E99">
              <w:t>ipologia de itens</w:t>
            </w:r>
          </w:p>
        </w:tc>
        <w:tc>
          <w:tcPr>
            <w:tcW w:w="1912" w:type="dxa"/>
            <w:shd w:val="clear" w:color="auto" w:fill="D9D9D9" w:themeFill="background1" w:themeFillShade="D9"/>
            <w:vAlign w:val="center"/>
          </w:tcPr>
          <w:p w:rsidR="007233F2" w:rsidRPr="00974E99" w:rsidRDefault="007233F2" w:rsidP="00862468">
            <w:pPr>
              <w:pStyle w:val="Normal1"/>
              <w:spacing w:after="0"/>
              <w:jc w:val="center"/>
            </w:pPr>
            <w:r>
              <w:t>Nú</w:t>
            </w:r>
            <w:r w:rsidRPr="00974E99">
              <w:t>mero de itens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7233F2" w:rsidRPr="00974E99" w:rsidRDefault="007233F2" w:rsidP="00862468">
            <w:pPr>
              <w:pStyle w:val="Normal1"/>
              <w:spacing w:after="0"/>
              <w:jc w:val="center"/>
            </w:pPr>
            <w:r w:rsidRPr="00974E99">
              <w:t>Cotação por item</w:t>
            </w:r>
          </w:p>
          <w:p w:rsidR="007233F2" w:rsidRPr="00974E99" w:rsidRDefault="007233F2" w:rsidP="00862468">
            <w:pPr>
              <w:pStyle w:val="Normal1"/>
              <w:spacing w:after="0"/>
              <w:jc w:val="center"/>
            </w:pPr>
            <w:r w:rsidRPr="00974E99">
              <w:t>(em pontos)</w:t>
            </w:r>
          </w:p>
        </w:tc>
      </w:tr>
      <w:tr w:rsidR="007233F2" w:rsidRPr="00974E99" w:rsidTr="00862468">
        <w:trPr>
          <w:trHeight w:val="227"/>
        </w:trPr>
        <w:tc>
          <w:tcPr>
            <w:tcW w:w="1985" w:type="dxa"/>
          </w:tcPr>
          <w:p w:rsidR="007233F2" w:rsidRPr="00974E99" w:rsidRDefault="007233F2" w:rsidP="00862468">
            <w:pPr>
              <w:pStyle w:val="Normal1"/>
              <w:jc w:val="left"/>
            </w:pPr>
            <w:r w:rsidRPr="00974E99">
              <w:t>Itens de seleção</w:t>
            </w:r>
          </w:p>
        </w:tc>
        <w:tc>
          <w:tcPr>
            <w:tcW w:w="2977" w:type="dxa"/>
          </w:tcPr>
          <w:p w:rsidR="007233F2" w:rsidRPr="00974E99" w:rsidRDefault="007233F2" w:rsidP="00862468">
            <w:pPr>
              <w:pStyle w:val="Normal1"/>
              <w:jc w:val="left"/>
            </w:pPr>
            <w:r>
              <w:t>Podem ser: E</w:t>
            </w:r>
            <w:r w:rsidRPr="00974E99">
              <w:t>scolha múltipla;</w:t>
            </w:r>
            <w:r>
              <w:t xml:space="preserve"> A</w:t>
            </w:r>
            <w:r w:rsidRPr="00974E99">
              <w:t>ssociação; Ordenação;</w:t>
            </w:r>
            <w:r>
              <w:t xml:space="preserve"> </w:t>
            </w:r>
            <w:r w:rsidRPr="00974E99">
              <w:t>Verdadeiro/falso;</w:t>
            </w:r>
            <w:r>
              <w:t xml:space="preserve"> </w:t>
            </w:r>
            <w:r w:rsidRPr="00974E99">
              <w:t>Completamento.</w:t>
            </w:r>
          </w:p>
        </w:tc>
        <w:tc>
          <w:tcPr>
            <w:tcW w:w="1912" w:type="dxa"/>
          </w:tcPr>
          <w:p w:rsidR="007233F2" w:rsidRPr="00974E99" w:rsidRDefault="007233F2" w:rsidP="00862468">
            <w:pPr>
              <w:pStyle w:val="Normal1"/>
              <w:jc w:val="center"/>
            </w:pPr>
            <w:r>
              <w:t>3</w:t>
            </w:r>
          </w:p>
        </w:tc>
        <w:tc>
          <w:tcPr>
            <w:tcW w:w="2292" w:type="dxa"/>
          </w:tcPr>
          <w:p w:rsidR="007233F2" w:rsidRPr="00974E99" w:rsidRDefault="007233F2" w:rsidP="00862468">
            <w:pPr>
              <w:pStyle w:val="Normal1"/>
              <w:jc w:val="center"/>
            </w:pPr>
            <w:r>
              <w:t>10</w:t>
            </w:r>
            <w:r w:rsidRPr="00974E99">
              <w:t xml:space="preserve"> </w:t>
            </w:r>
            <w:proofErr w:type="gramStart"/>
            <w:r w:rsidRPr="00974E99">
              <w:t>pontos</w:t>
            </w:r>
            <w:proofErr w:type="gramEnd"/>
          </w:p>
        </w:tc>
      </w:tr>
      <w:tr w:rsidR="007233F2" w:rsidRPr="00974E99" w:rsidTr="00862468">
        <w:trPr>
          <w:trHeight w:val="227"/>
        </w:trPr>
        <w:tc>
          <w:tcPr>
            <w:tcW w:w="1985" w:type="dxa"/>
            <w:vMerge w:val="restart"/>
          </w:tcPr>
          <w:p w:rsidR="007233F2" w:rsidRPr="00974E99" w:rsidRDefault="007233F2" w:rsidP="00862468">
            <w:pPr>
              <w:pStyle w:val="Normal1"/>
              <w:jc w:val="left"/>
            </w:pPr>
            <w:r w:rsidRPr="00974E99">
              <w:t>Itens de construção</w:t>
            </w:r>
          </w:p>
        </w:tc>
        <w:tc>
          <w:tcPr>
            <w:tcW w:w="2977" w:type="dxa"/>
          </w:tcPr>
          <w:p w:rsidR="007233F2" w:rsidRPr="00974E99" w:rsidRDefault="007233F2" w:rsidP="00862468">
            <w:pPr>
              <w:pStyle w:val="Normal1"/>
              <w:jc w:val="left"/>
            </w:pPr>
            <w:r>
              <w:t>Resposta curta</w:t>
            </w:r>
          </w:p>
        </w:tc>
        <w:tc>
          <w:tcPr>
            <w:tcW w:w="1912" w:type="dxa"/>
          </w:tcPr>
          <w:p w:rsidR="007233F2" w:rsidRPr="00974E99" w:rsidRDefault="007233F2" w:rsidP="00862468">
            <w:pPr>
              <w:pStyle w:val="Normal1"/>
              <w:jc w:val="center"/>
            </w:pPr>
            <w:r>
              <w:t>4</w:t>
            </w:r>
          </w:p>
        </w:tc>
        <w:tc>
          <w:tcPr>
            <w:tcW w:w="2292" w:type="dxa"/>
          </w:tcPr>
          <w:p w:rsidR="007233F2" w:rsidRPr="00974E99" w:rsidRDefault="007233F2" w:rsidP="007233F2">
            <w:pPr>
              <w:pStyle w:val="Normal1"/>
              <w:jc w:val="center"/>
            </w:pPr>
            <w:r>
              <w:t xml:space="preserve">9-10 </w:t>
            </w:r>
            <w:proofErr w:type="gramStart"/>
            <w:r w:rsidRPr="00974E99">
              <w:t>pontos</w:t>
            </w:r>
            <w:proofErr w:type="gramEnd"/>
          </w:p>
        </w:tc>
      </w:tr>
      <w:tr w:rsidR="007233F2" w:rsidRPr="00974E99" w:rsidTr="00862468">
        <w:trPr>
          <w:trHeight w:val="227"/>
        </w:trPr>
        <w:tc>
          <w:tcPr>
            <w:tcW w:w="1985" w:type="dxa"/>
            <w:vMerge/>
          </w:tcPr>
          <w:p w:rsidR="007233F2" w:rsidRPr="00974E99" w:rsidRDefault="007233F2" w:rsidP="00862468">
            <w:pPr>
              <w:pStyle w:val="Normal1"/>
              <w:jc w:val="left"/>
            </w:pPr>
          </w:p>
        </w:tc>
        <w:tc>
          <w:tcPr>
            <w:tcW w:w="2977" w:type="dxa"/>
          </w:tcPr>
          <w:p w:rsidR="007233F2" w:rsidRDefault="007233F2" w:rsidP="00862468">
            <w:pPr>
              <w:pStyle w:val="Normal1"/>
              <w:jc w:val="left"/>
            </w:pPr>
            <w:r>
              <w:t>R</w:t>
            </w:r>
            <w:r w:rsidRPr="00974E99">
              <w:t>esposta restrita</w:t>
            </w:r>
          </w:p>
        </w:tc>
        <w:tc>
          <w:tcPr>
            <w:tcW w:w="1912" w:type="dxa"/>
          </w:tcPr>
          <w:p w:rsidR="007233F2" w:rsidRPr="00974E99" w:rsidRDefault="007233F2" w:rsidP="00862468">
            <w:pPr>
              <w:pStyle w:val="Normal1"/>
              <w:jc w:val="center"/>
            </w:pPr>
            <w:r>
              <w:t>5</w:t>
            </w:r>
          </w:p>
        </w:tc>
        <w:tc>
          <w:tcPr>
            <w:tcW w:w="2292" w:type="dxa"/>
          </w:tcPr>
          <w:p w:rsidR="007233F2" w:rsidRPr="00974E99" w:rsidRDefault="007233F2" w:rsidP="00862468">
            <w:pPr>
              <w:pStyle w:val="Normal1"/>
              <w:jc w:val="center"/>
            </w:pPr>
            <w:r>
              <w:t xml:space="preserve">20-26 </w:t>
            </w:r>
            <w:proofErr w:type="gramStart"/>
            <w:r>
              <w:t>pontos</w:t>
            </w:r>
            <w:proofErr w:type="gramEnd"/>
          </w:p>
        </w:tc>
      </w:tr>
    </w:tbl>
    <w:p w:rsidR="007233F2" w:rsidRDefault="007233F2" w:rsidP="007233F2">
      <w:pPr>
        <w:pStyle w:val="Normal1"/>
      </w:pPr>
    </w:p>
    <w:p w:rsidR="007233F2" w:rsidRDefault="007233F2">
      <w:pPr>
        <w:spacing w:after="200"/>
      </w:pPr>
      <w:bookmarkStart w:id="0" w:name="_GoBack"/>
      <w:bookmarkEnd w:id="0"/>
    </w:p>
    <w:sectPr w:rsidR="007233F2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801" w:rsidRDefault="004C7801" w:rsidP="00BC1E51">
      <w:r>
        <w:separator/>
      </w:r>
    </w:p>
  </w:endnote>
  <w:endnote w:type="continuationSeparator" w:id="0">
    <w:p w:rsidR="004C7801" w:rsidRDefault="004C7801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5920AAED-F3CC-434A-882C-B82707094515}"/>
    <w:embedBold r:id="rId2" w:fontKey="{F8ED923A-1CD7-44BE-8DA6-B181198327F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F57CDCDB-69BF-4910-BC4A-EAF261DC5E2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9BD85A3B-D870-4EFE-8C8C-95C5EE1BD66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32937293-CCE3-4145-BD69-FD4B66D0625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8E5FA1A2-37C7-4E52-B5F6-19AC5A8FC261}"/>
    <w:embedBold r:id="rId7" w:fontKey="{40082259-8F3C-4408-9CB9-52DDD3A34C1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489E158A-9C37-4C12-8173-BD8FD884475F}"/>
    <w:embedBold r:id="rId9" w:fontKey="{F2CB0581-FA51-4FB1-9DD0-63906A9C506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DC829F37-23C0-4B4B-B023-1A3EC2E8C9FF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F5F7308D-A223-4713-A2E5-3CBD0F5963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801" w:rsidRDefault="004C7801" w:rsidP="00BC1E51">
      <w:r>
        <w:separator/>
      </w:r>
    </w:p>
  </w:footnote>
  <w:footnote w:type="continuationSeparator" w:id="0">
    <w:p w:rsidR="004C7801" w:rsidRDefault="004C7801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880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801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76E9B-B6FD-4DA2-9903-4093FFE7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2016-07-11T14:04:00Z</dcterms:created>
  <dcterms:modified xsi:type="dcterms:W3CDTF">2016-07-11T14:04:00Z</dcterms:modified>
</cp:coreProperties>
</file>