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0C3391" w:rsidRPr="00195CA3" w:rsidRDefault="002E5B84" w:rsidP="002E5B84">
      <w:pPr>
        <w:spacing w:after="0" w:line="240" w:lineRule="auto"/>
        <w:jc w:val="center"/>
        <w:rPr>
          <w:rFonts w:cs="Times New Roman"/>
          <w:b/>
          <w:color w:val="1F4E79" w:themeColor="accent1" w:themeShade="80"/>
          <w:sz w:val="32"/>
          <w:szCs w:val="32"/>
        </w:rPr>
      </w:pPr>
      <w:r w:rsidRPr="00195CA3">
        <w:rPr>
          <w:rFonts w:cs="Times New Roman"/>
          <w:b/>
          <w:color w:val="1F4E79" w:themeColor="accent1" w:themeShade="80"/>
          <w:sz w:val="32"/>
          <w:szCs w:val="32"/>
        </w:rPr>
        <w:t xml:space="preserve">FICHA </w:t>
      </w:r>
      <w:r w:rsidR="00AC0A59">
        <w:rPr>
          <w:rFonts w:cs="Times New Roman"/>
          <w:b/>
          <w:color w:val="1F4E79" w:themeColor="accent1" w:themeShade="80"/>
          <w:sz w:val="32"/>
          <w:szCs w:val="32"/>
        </w:rPr>
        <w:t>9</w:t>
      </w:r>
    </w:p>
    <w:p w:rsidR="002E5B84" w:rsidRDefault="002E5B84" w:rsidP="002E5B84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  <w:r>
        <w:rPr>
          <w:rFonts w:cs="Times New Roman"/>
          <w:b/>
          <w:sz w:val="24"/>
          <w:szCs w:val="32"/>
        </w:rPr>
        <w:t>(CORREÇÃO)</w:t>
      </w:r>
    </w:p>
    <w:p w:rsidR="003676C1" w:rsidRDefault="003676C1" w:rsidP="002E5B8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3676C1" w:rsidRPr="003676C1" w:rsidRDefault="003676C1" w:rsidP="003676C1">
      <w:pPr>
        <w:spacing w:after="0"/>
        <w:rPr>
          <w:b/>
          <w:color w:val="00B050"/>
        </w:rPr>
      </w:pPr>
      <w:r>
        <w:rPr>
          <w:b/>
          <w:color w:val="1F4E79" w:themeColor="accent1" w:themeShade="80"/>
        </w:rPr>
        <w:t>MÓDULO</w:t>
      </w:r>
      <w:r w:rsidR="00CE56D6">
        <w:rPr>
          <w:b/>
          <w:color w:val="1F4E79" w:themeColor="accent1" w:themeShade="80"/>
        </w:rPr>
        <w:t xml:space="preserve"> 5</w:t>
      </w:r>
      <w:r>
        <w:rPr>
          <w:b/>
          <w:color w:val="1F4E79" w:themeColor="accent1" w:themeShade="80"/>
        </w:rPr>
        <w:t xml:space="preserve"> </w:t>
      </w:r>
    </w:p>
    <w:p w:rsidR="003676C1" w:rsidRPr="00CE56D6" w:rsidRDefault="00CE56D6" w:rsidP="00CE56D6">
      <w:pPr>
        <w:pStyle w:val="PargrafodaLista"/>
        <w:numPr>
          <w:ilvl w:val="0"/>
          <w:numId w:val="12"/>
        </w:numPr>
        <w:spacing w:after="0"/>
        <w:ind w:left="284" w:hanging="284"/>
        <w:rPr>
          <w:b/>
          <w:sz w:val="24"/>
          <w:szCs w:val="24"/>
        </w:rPr>
      </w:pPr>
      <w:r w:rsidRPr="00CE56D6">
        <w:rPr>
          <w:b/>
          <w:sz w:val="24"/>
          <w:szCs w:val="24"/>
        </w:rPr>
        <w:t>A Revolução Americana, uma revolução fundadora</w:t>
      </w:r>
    </w:p>
    <w:p w:rsidR="003676C1" w:rsidRPr="00B0718A" w:rsidRDefault="00CE56D6" w:rsidP="003676C1">
      <w:pPr>
        <w:spacing w:after="0"/>
        <w:rPr>
          <w:b/>
          <w:color w:val="5F497A"/>
          <w:sz w:val="24"/>
          <w:szCs w:val="24"/>
        </w:rPr>
      </w:pPr>
      <w:r>
        <w:rPr>
          <w:b/>
          <w:color w:val="5F497A"/>
          <w:sz w:val="24"/>
          <w:szCs w:val="24"/>
        </w:rPr>
        <w:t>1.1</w:t>
      </w:r>
      <w:r w:rsidRPr="00CE56D6">
        <w:rPr>
          <w:color w:val="5F497A"/>
          <w:sz w:val="24"/>
          <w:szCs w:val="24"/>
        </w:rPr>
        <w:t xml:space="preserve"> </w:t>
      </w:r>
      <w:r w:rsidRPr="00CE56D6">
        <w:rPr>
          <w:sz w:val="24"/>
          <w:szCs w:val="24"/>
        </w:rPr>
        <w:t>Nascimento d</w:t>
      </w:r>
      <w:r>
        <w:rPr>
          <w:sz w:val="24"/>
          <w:szCs w:val="24"/>
        </w:rPr>
        <w:t>e uma nação sob a égide dos ide</w:t>
      </w:r>
      <w:r w:rsidRPr="00CE56D6">
        <w:rPr>
          <w:sz w:val="24"/>
          <w:szCs w:val="24"/>
        </w:rPr>
        <w:t>a</w:t>
      </w:r>
      <w:r>
        <w:rPr>
          <w:sz w:val="24"/>
          <w:szCs w:val="24"/>
        </w:rPr>
        <w:t>i</w:t>
      </w:r>
      <w:r w:rsidRPr="00CE56D6">
        <w:rPr>
          <w:sz w:val="24"/>
          <w:szCs w:val="24"/>
        </w:rPr>
        <w:t>s iluministas</w:t>
      </w:r>
    </w:p>
    <w:p w:rsidR="003676C1" w:rsidRDefault="003676C1" w:rsidP="002E5B8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3676C1" w:rsidRDefault="003676C1" w:rsidP="002E5B8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B6221A" w:rsidRPr="00EA114F" w:rsidRDefault="002E5B84" w:rsidP="002E5B84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 w:rsidRPr="00EA114F">
        <w:rPr>
          <w:rFonts w:cs="Times New Roman"/>
          <w:b/>
          <w:sz w:val="26"/>
          <w:szCs w:val="26"/>
        </w:rPr>
        <w:t>Grupo</w:t>
      </w:r>
      <w:r w:rsidR="003379DB" w:rsidRPr="00EA114F">
        <w:rPr>
          <w:rFonts w:cs="Times New Roman"/>
          <w:b/>
          <w:sz w:val="26"/>
          <w:szCs w:val="26"/>
        </w:rPr>
        <w:t xml:space="preserve"> I</w:t>
      </w:r>
    </w:p>
    <w:p w:rsidR="00AF6FF7" w:rsidRPr="00AF6FF7" w:rsidRDefault="00AF6FF7" w:rsidP="00900BE7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t>Associar os e</w:t>
      </w:r>
      <w:r w:rsidR="00B823F5">
        <w:rPr>
          <w:rFonts w:cs="MyriadPro-BoldSemiCn"/>
          <w:b/>
          <w:bCs/>
          <w:color w:val="000000"/>
          <w:sz w:val="20"/>
          <w:szCs w:val="20"/>
        </w:rPr>
        <w:t xml:space="preserve">xcertos do Doc. 1 (coluna A) </w:t>
      </w:r>
      <w:r w:rsidR="00900BE7" w:rsidRPr="00900BE7">
        <w:rPr>
          <w:rFonts w:cs="MyriadPro-BoldSemiCn"/>
          <w:b/>
          <w:bCs/>
          <w:color w:val="000000"/>
          <w:sz w:val="20"/>
          <w:szCs w:val="20"/>
        </w:rPr>
        <w:t>às situações</w:t>
      </w:r>
      <w:r w:rsidRPr="00AF6FF7">
        <w:rPr>
          <w:rFonts w:cs="MyriadPro-BoldSemiCn"/>
          <w:b/>
          <w:bCs/>
          <w:color w:val="000000"/>
          <w:sz w:val="20"/>
          <w:szCs w:val="20"/>
        </w:rPr>
        <w:t xml:space="preserve"> históricas apresentadas (coluna B).</w:t>
      </w:r>
    </w:p>
    <w:p w:rsidR="00AF6FF7" w:rsidRPr="00AF6FF7" w:rsidRDefault="00AF6FF7" w:rsidP="00BD41E6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– 6;</w:t>
      </w:r>
    </w:p>
    <w:p w:rsidR="00AF6FF7" w:rsidRPr="00AF6FF7" w:rsidRDefault="00AF6FF7" w:rsidP="00BD41E6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– 5;</w:t>
      </w:r>
    </w:p>
    <w:p w:rsidR="00AF6FF7" w:rsidRPr="00AF6FF7" w:rsidRDefault="00AF6FF7" w:rsidP="00BD41E6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– 1;</w:t>
      </w:r>
    </w:p>
    <w:p w:rsidR="00AF6FF7" w:rsidRPr="00AF6FF7" w:rsidRDefault="00AF6FF7" w:rsidP="00BD41E6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– 2.</w:t>
      </w:r>
    </w:p>
    <w:p w:rsidR="00AF6FF7" w:rsidRDefault="00AF6FF7" w:rsidP="00AF6FF7">
      <w:pPr>
        <w:autoSpaceDE w:val="0"/>
        <w:autoSpaceDN w:val="0"/>
        <w:adjustRightInd w:val="0"/>
        <w:spacing w:after="0" w:line="240" w:lineRule="auto"/>
        <w:ind w:left="283"/>
        <w:rPr>
          <w:rFonts w:cs="BureauGrot-Medium"/>
          <w:color w:val="2C0052"/>
          <w:sz w:val="20"/>
          <w:szCs w:val="20"/>
        </w:rPr>
      </w:pPr>
    </w:p>
    <w:p w:rsidR="00AF6FF7" w:rsidRPr="00900BE7" w:rsidRDefault="00AF6FF7" w:rsidP="00900BE7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t>Distinguir os diferentes pontos de vista a propósito do acontecimento ocorrid</w:t>
      </w:r>
      <w:r w:rsidR="00B823F5">
        <w:rPr>
          <w:rFonts w:cs="MyriadPro-BoldSemiCn"/>
          <w:b/>
          <w:bCs/>
          <w:color w:val="000000"/>
          <w:sz w:val="20"/>
          <w:szCs w:val="20"/>
        </w:rPr>
        <w:t xml:space="preserve">o a 16 de dezembro de 1773, </w:t>
      </w:r>
      <w:r w:rsidR="00B823F5" w:rsidRPr="00900BE7">
        <w:rPr>
          <w:rFonts w:cs="MyriadPro-BoldSemiCn"/>
          <w:b/>
          <w:bCs/>
          <w:color w:val="000000"/>
          <w:sz w:val="20"/>
          <w:szCs w:val="20"/>
        </w:rPr>
        <w:t>no p</w:t>
      </w:r>
      <w:r w:rsidRPr="00900BE7">
        <w:rPr>
          <w:rFonts w:cs="MyriadPro-BoldSemiCn"/>
          <w:b/>
          <w:bCs/>
          <w:color w:val="000000"/>
          <w:sz w:val="20"/>
          <w:szCs w:val="20"/>
        </w:rPr>
        <w:t>orto de Boston.</w:t>
      </w:r>
    </w:p>
    <w:p w:rsidR="00AF6FF7" w:rsidRPr="00900BE7" w:rsidRDefault="00AF6FF7" w:rsidP="00900BE7">
      <w:pPr>
        <w:pStyle w:val="PargrafodaLista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709" w:hanging="322"/>
        <w:jc w:val="both"/>
        <w:rPr>
          <w:rFonts w:cs="MyriadPro-SemiCn"/>
          <w:color w:val="000000"/>
          <w:sz w:val="20"/>
          <w:szCs w:val="20"/>
        </w:rPr>
      </w:pPr>
      <w:r w:rsidRPr="00900BE7">
        <w:rPr>
          <w:rFonts w:cs="MyriadPro-SemiCn"/>
          <w:color w:val="000000"/>
          <w:sz w:val="20"/>
          <w:szCs w:val="20"/>
        </w:rPr>
        <w:t>A posição dos colonos e de John Adams (delegado dos colonos) que reagem à imposição das taxas da metrópole, impedindo o descarregamento do chá e lançando-o, por fim, ao mar. Apesar de se tratar de um atentado à propriedade privada, no próprio dizer de John Adams</w:t>
      </w:r>
      <w:r w:rsidR="00085933" w:rsidRPr="00900BE7">
        <w:rPr>
          <w:rFonts w:cs="MyriadPro-SemiCn"/>
          <w:color w:val="000000"/>
          <w:sz w:val="20"/>
          <w:szCs w:val="20"/>
        </w:rPr>
        <w:t>,</w:t>
      </w:r>
      <w:r w:rsidRPr="00900BE7">
        <w:rPr>
          <w:rFonts w:cs="MyriadPro-SemiCn"/>
          <w:color w:val="000000"/>
          <w:sz w:val="20"/>
          <w:szCs w:val="20"/>
        </w:rPr>
        <w:t xml:space="preserve"> o acontecimento representa uma </w:t>
      </w:r>
      <w:r w:rsidR="00B823F5" w:rsidRPr="00900BE7">
        <w:rPr>
          <w:rFonts w:cs="MyriadPro-SemiCn"/>
          <w:color w:val="000000"/>
          <w:sz w:val="20"/>
          <w:szCs w:val="20"/>
        </w:rPr>
        <w:t>manifestação</w:t>
      </w:r>
      <w:r w:rsidR="00AD5FB3" w:rsidRPr="00900BE7">
        <w:rPr>
          <w:rFonts w:cs="MyriadPro-SemiCn"/>
          <w:color w:val="000000"/>
          <w:sz w:val="20"/>
          <w:szCs w:val="20"/>
        </w:rPr>
        <w:t xml:space="preserve"> popular de patriotismo contra</w:t>
      </w:r>
      <w:r w:rsidRPr="00900BE7">
        <w:rPr>
          <w:rFonts w:cs="MyriadPro-SemiCn"/>
          <w:color w:val="000000"/>
          <w:sz w:val="20"/>
          <w:szCs w:val="20"/>
        </w:rPr>
        <w:t xml:space="preserve"> </w:t>
      </w:r>
      <w:r w:rsidR="00B823F5" w:rsidRPr="00900BE7">
        <w:rPr>
          <w:rFonts w:cs="MyriadPro-SemiCn"/>
          <w:color w:val="000000"/>
          <w:sz w:val="20"/>
          <w:szCs w:val="20"/>
        </w:rPr>
        <w:t xml:space="preserve">a </w:t>
      </w:r>
      <w:r w:rsidRPr="00900BE7">
        <w:rPr>
          <w:rFonts w:cs="MyriadPro-SemiCn"/>
          <w:color w:val="000000"/>
          <w:sz w:val="20"/>
          <w:szCs w:val="20"/>
        </w:rPr>
        <w:t>“tirania” do governo de Londres.</w:t>
      </w:r>
    </w:p>
    <w:p w:rsidR="00AF6FF7" w:rsidRPr="00AF6FF7" w:rsidRDefault="00AF6FF7" w:rsidP="00900BE7">
      <w:pPr>
        <w:pStyle w:val="PargrafodaLista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709" w:hanging="322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A posição dos delegados da coroa britânica e da Companhia das Índias Orientais que representam os respetivos interesses e fazem cumprir as decisões do Parlamento. Para eles, a destruição do chá era um ato de rebeldia e de insubordinação às autoridades legais e que, por isso, deveria ser castigado.</w:t>
      </w:r>
    </w:p>
    <w:p w:rsidR="00AF6FF7" w:rsidRDefault="00AF6FF7" w:rsidP="00AF6FF7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</w:p>
    <w:p w:rsidR="00AF6FF7" w:rsidRDefault="00AF6FF7" w:rsidP="002E63BD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 w:rsidRPr="00EA114F">
        <w:rPr>
          <w:rFonts w:cs="Times New Roman"/>
          <w:b/>
          <w:sz w:val="26"/>
          <w:szCs w:val="26"/>
        </w:rPr>
        <w:t>Grupo I</w:t>
      </w:r>
      <w:r>
        <w:rPr>
          <w:rFonts w:cs="Times New Roman"/>
          <w:b/>
          <w:sz w:val="26"/>
          <w:szCs w:val="26"/>
        </w:rPr>
        <w:t>I</w:t>
      </w:r>
    </w:p>
    <w:p w:rsidR="00900BE7" w:rsidRPr="00EA114F" w:rsidRDefault="00900BE7" w:rsidP="00AF6FF7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</w:p>
    <w:p w:rsidR="00AF6FF7" w:rsidRPr="00AF6FF7" w:rsidRDefault="00AF6FF7" w:rsidP="002E63BD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t xml:space="preserve">George Washington distinguiu-se na Revolução americana </w:t>
      </w:r>
      <w:proofErr w:type="gramStart"/>
      <w:r w:rsidRPr="00AF6FF7">
        <w:rPr>
          <w:rFonts w:cs="MyriadPro-BoldSemiCn"/>
          <w:b/>
          <w:bCs/>
          <w:color w:val="000000"/>
          <w:sz w:val="20"/>
          <w:szCs w:val="20"/>
        </w:rPr>
        <w:t>por</w:t>
      </w:r>
      <w:proofErr w:type="gramEnd"/>
      <w:r w:rsidR="00900BE7">
        <w:rPr>
          <w:rFonts w:cs="MyriadPro-BoldSemiCn"/>
          <w:b/>
          <w:bCs/>
          <w:color w:val="000000"/>
          <w:sz w:val="20"/>
          <w:szCs w:val="20"/>
        </w:rPr>
        <w:t>:</w:t>
      </w:r>
    </w:p>
    <w:p w:rsidR="00AF6FF7" w:rsidRDefault="00AF6FF7" w:rsidP="002E63BD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AF6FF7">
        <w:rPr>
          <w:rFonts w:cs="MyriadPro-BoldCond"/>
          <w:b/>
          <w:bCs/>
          <w:color w:val="2C0052"/>
          <w:sz w:val="20"/>
          <w:szCs w:val="20"/>
        </w:rPr>
        <w:t>c)</w:t>
      </w:r>
      <w:r w:rsidR="00900BE7">
        <w:rPr>
          <w:rFonts w:cs="MyriadPro-BoldCond"/>
          <w:b/>
          <w:bCs/>
          <w:color w:val="2C0052"/>
          <w:sz w:val="20"/>
          <w:szCs w:val="20"/>
        </w:rPr>
        <w:t xml:space="preserve">  </w:t>
      </w:r>
      <w:r w:rsidRPr="00AF6FF7">
        <w:rPr>
          <w:rFonts w:cs="MyriadPro-BoldCond"/>
          <w:b/>
          <w:bCs/>
          <w:color w:val="2C0052"/>
          <w:sz w:val="20"/>
          <w:szCs w:val="20"/>
        </w:rPr>
        <w:t xml:space="preserve"> </w:t>
      </w:r>
      <w:r w:rsidR="00D21824" w:rsidRPr="00900BE7">
        <w:rPr>
          <w:rFonts w:cs="MyriadPro-SemiCn"/>
          <w:color w:val="000000"/>
          <w:sz w:val="20"/>
          <w:szCs w:val="20"/>
        </w:rPr>
        <w:t>ter</w:t>
      </w:r>
      <w:proofErr w:type="gramEnd"/>
      <w:r w:rsidR="00D21824" w:rsidRPr="00900BE7">
        <w:rPr>
          <w:rFonts w:cs="MyriadPro-SemiCn"/>
          <w:color w:val="000000"/>
          <w:sz w:val="20"/>
          <w:szCs w:val="20"/>
        </w:rPr>
        <w:t xml:space="preserve"> comandado os exé</w:t>
      </w:r>
      <w:r w:rsidRPr="00900BE7">
        <w:rPr>
          <w:rFonts w:cs="MyriadPro-SemiCn"/>
          <w:color w:val="000000"/>
          <w:sz w:val="20"/>
          <w:szCs w:val="20"/>
        </w:rPr>
        <w:t>rcitos americanos durante a Guerra da Independência e sido o primeiro Presidente da República dos EUA.</w:t>
      </w:r>
    </w:p>
    <w:p w:rsidR="00AF6FF7" w:rsidRPr="00AF6FF7" w:rsidRDefault="00AF6FF7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SemiCn"/>
          <w:color w:val="000000"/>
          <w:sz w:val="20"/>
          <w:szCs w:val="20"/>
        </w:rPr>
      </w:pPr>
    </w:p>
    <w:p w:rsidR="00AF6FF7" w:rsidRPr="00AF6FF7" w:rsidRDefault="00AF6FF7" w:rsidP="002E63BD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t xml:space="preserve">Uma constituição é um diploma jurídico </w:t>
      </w:r>
      <w:proofErr w:type="gramStart"/>
      <w:r w:rsidRPr="00AF6FF7">
        <w:rPr>
          <w:rFonts w:cs="MyriadPro-BoldSemiCn"/>
          <w:b/>
          <w:bCs/>
          <w:color w:val="000000"/>
          <w:sz w:val="20"/>
          <w:szCs w:val="20"/>
        </w:rPr>
        <w:t>que</w:t>
      </w:r>
      <w:proofErr w:type="gramEnd"/>
      <w:r w:rsidR="00900BE7">
        <w:rPr>
          <w:rFonts w:cs="MyriadPro-BoldSemiCn"/>
          <w:b/>
          <w:bCs/>
          <w:color w:val="000000"/>
          <w:sz w:val="20"/>
          <w:szCs w:val="20"/>
        </w:rPr>
        <w:t>:</w:t>
      </w:r>
    </w:p>
    <w:p w:rsidR="00AF6FF7" w:rsidRDefault="00AF6FF7" w:rsidP="002E63BD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AF6FF7">
        <w:rPr>
          <w:rFonts w:cs="MyriadPro-BoldCond"/>
          <w:b/>
          <w:bCs/>
          <w:color w:val="2C0052"/>
          <w:sz w:val="20"/>
          <w:szCs w:val="20"/>
        </w:rPr>
        <w:t xml:space="preserve">c) </w:t>
      </w:r>
      <w:r w:rsidR="00900BE7">
        <w:rPr>
          <w:rFonts w:cs="MyriadPro-BoldCond"/>
          <w:b/>
          <w:bCs/>
          <w:color w:val="2C0052"/>
          <w:sz w:val="20"/>
          <w:szCs w:val="20"/>
        </w:rPr>
        <w:t xml:space="preserve">  </w:t>
      </w:r>
      <w:r w:rsidRPr="00900BE7">
        <w:rPr>
          <w:rFonts w:cs="MyriadPro-SemiCn"/>
          <w:color w:val="000000"/>
          <w:sz w:val="20"/>
          <w:szCs w:val="20"/>
        </w:rPr>
        <w:t>é</w:t>
      </w:r>
      <w:proofErr w:type="gramEnd"/>
      <w:r w:rsidRPr="00900BE7">
        <w:rPr>
          <w:rFonts w:cs="MyriadPro-SemiCn"/>
          <w:color w:val="000000"/>
          <w:sz w:val="20"/>
          <w:szCs w:val="20"/>
        </w:rPr>
        <w:t xml:space="preserve"> elaborado pelos deputados</w:t>
      </w:r>
      <w:r w:rsidR="00B823F5" w:rsidRPr="00900BE7">
        <w:rPr>
          <w:rFonts w:cs="MyriadPro-SemiCn"/>
          <w:color w:val="000000"/>
          <w:sz w:val="20"/>
          <w:szCs w:val="20"/>
        </w:rPr>
        <w:t>,</w:t>
      </w:r>
      <w:r w:rsidRPr="00900BE7">
        <w:rPr>
          <w:rFonts w:cs="MyriadPro-SemiCn"/>
          <w:color w:val="000000"/>
          <w:sz w:val="20"/>
          <w:szCs w:val="20"/>
        </w:rPr>
        <w:t xml:space="preserve"> estabelecendo os direitos dos cidadãos</w:t>
      </w:r>
      <w:r w:rsidR="00B823F5" w:rsidRPr="00900BE7">
        <w:rPr>
          <w:rFonts w:cs="MyriadPro-SemiCn"/>
          <w:color w:val="000000"/>
          <w:sz w:val="20"/>
          <w:szCs w:val="20"/>
        </w:rPr>
        <w:t>,</w:t>
      </w:r>
      <w:r w:rsidRPr="00900BE7">
        <w:rPr>
          <w:rFonts w:cs="MyriadPro-SemiCn"/>
          <w:color w:val="000000"/>
          <w:sz w:val="20"/>
          <w:szCs w:val="20"/>
        </w:rPr>
        <w:t xml:space="preserve"> a soberania nacional e consagra</w:t>
      </w:r>
      <w:r w:rsidR="00B823F5" w:rsidRPr="00900BE7">
        <w:rPr>
          <w:rFonts w:cs="MyriadPro-SemiCn"/>
          <w:color w:val="000000"/>
          <w:sz w:val="20"/>
          <w:szCs w:val="20"/>
        </w:rPr>
        <w:t>n</w:t>
      </w:r>
      <w:r w:rsidRPr="00900BE7">
        <w:rPr>
          <w:rFonts w:cs="MyriadPro-SemiCn"/>
          <w:color w:val="000000"/>
          <w:sz w:val="20"/>
          <w:szCs w:val="20"/>
        </w:rPr>
        <w:t>do a tripartição dos poderes.</w:t>
      </w:r>
    </w:p>
    <w:p w:rsidR="00AF6FF7" w:rsidRPr="00AF6FF7" w:rsidRDefault="00AF6FF7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SemiCn"/>
          <w:color w:val="000000"/>
          <w:sz w:val="20"/>
          <w:szCs w:val="20"/>
        </w:rPr>
      </w:pPr>
    </w:p>
    <w:p w:rsidR="00AF6FF7" w:rsidRPr="00AF6FF7" w:rsidRDefault="00AF6FF7" w:rsidP="002E63BD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t>Apresen</w:t>
      </w:r>
      <w:r w:rsidR="00900BE7">
        <w:rPr>
          <w:rFonts w:cs="MyriadPro-BoldSemiCn"/>
          <w:b/>
          <w:bCs/>
          <w:color w:val="000000"/>
          <w:sz w:val="20"/>
          <w:szCs w:val="20"/>
        </w:rPr>
        <w:t xml:space="preserve">tar dois aspetos da organização </w:t>
      </w:r>
      <w:r w:rsidRPr="00AF6FF7">
        <w:rPr>
          <w:rFonts w:cs="MyriadPro-BoldSemiCn"/>
          <w:b/>
          <w:bCs/>
          <w:color w:val="000000"/>
          <w:sz w:val="20"/>
          <w:szCs w:val="20"/>
        </w:rPr>
        <w:t>política dos EUA (Doc. 2) que comprovam a aplicação dos princípios iluministas.</w:t>
      </w:r>
    </w:p>
    <w:p w:rsidR="00AF6FF7" w:rsidRPr="00AF6FF7" w:rsidRDefault="00AF6FF7" w:rsidP="002E63BD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AF6FF7">
        <w:rPr>
          <w:rFonts w:cs="MyriadPro-BoldCond"/>
          <w:b/>
          <w:bCs/>
          <w:color w:val="2C0052"/>
          <w:sz w:val="20"/>
          <w:szCs w:val="20"/>
        </w:rPr>
        <w:t xml:space="preserve">• </w:t>
      </w:r>
      <w:r w:rsidR="00900BE7">
        <w:rPr>
          <w:rFonts w:cs="MyriadPro-BoldCond"/>
          <w:b/>
          <w:bCs/>
          <w:color w:val="2C0052"/>
          <w:sz w:val="20"/>
          <w:szCs w:val="20"/>
        </w:rPr>
        <w:t xml:space="preserve">  </w:t>
      </w:r>
      <w:r w:rsidRPr="00AF6FF7">
        <w:rPr>
          <w:rFonts w:cs="MyriadPro-SemiCn"/>
          <w:color w:val="000000"/>
          <w:sz w:val="20"/>
          <w:szCs w:val="20"/>
        </w:rPr>
        <w:t>A</w:t>
      </w:r>
      <w:proofErr w:type="gramEnd"/>
      <w:r w:rsidRPr="00AF6FF7">
        <w:rPr>
          <w:rFonts w:cs="MyriadPro-SemiCn"/>
          <w:color w:val="000000"/>
          <w:sz w:val="20"/>
          <w:szCs w:val="20"/>
        </w:rPr>
        <w:t xml:space="preserve"> soberania da nação</w:t>
      </w:r>
      <w:r w:rsidR="00512628" w:rsidRPr="00900BE7">
        <w:rPr>
          <w:rFonts w:cs="MyriadPro-SemiCn"/>
          <w:color w:val="000000"/>
          <w:sz w:val="20"/>
          <w:szCs w:val="20"/>
        </w:rPr>
        <w:t>,</w:t>
      </w:r>
      <w:r w:rsidRPr="00AF6FF7">
        <w:rPr>
          <w:rFonts w:cs="MyriadPro-SemiCn"/>
          <w:color w:val="000000"/>
          <w:sz w:val="20"/>
          <w:szCs w:val="20"/>
        </w:rPr>
        <w:t xml:space="preserve"> exercida pelo povo dos diversos Estados: através de sufrágio direto na</w:t>
      </w:r>
      <w:r>
        <w:rPr>
          <w:rFonts w:cs="MyriadPro-SemiCn"/>
          <w:color w:val="000000"/>
          <w:sz w:val="20"/>
          <w:szCs w:val="20"/>
        </w:rPr>
        <w:t xml:space="preserve"> </w:t>
      </w:r>
      <w:r w:rsidRPr="00AF6FF7">
        <w:rPr>
          <w:rFonts w:cs="MyriadPro-SemiCn"/>
          <w:color w:val="000000"/>
          <w:sz w:val="20"/>
          <w:szCs w:val="20"/>
        </w:rPr>
        <w:t>eleição da Câmara dos Representantes e de sufrágio indireto na escolha do Presidente, Vice-Presidente e do Senado.</w:t>
      </w:r>
    </w:p>
    <w:p w:rsidR="00AF6FF7" w:rsidRPr="00AF6FF7" w:rsidRDefault="00AF6FF7" w:rsidP="002E63BD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AF6FF7">
        <w:rPr>
          <w:rFonts w:cs="MyriadPro-BoldCond"/>
          <w:b/>
          <w:bCs/>
          <w:color w:val="2C0052"/>
          <w:sz w:val="20"/>
          <w:szCs w:val="20"/>
        </w:rPr>
        <w:t>•</w:t>
      </w:r>
      <w:r w:rsidR="00900BE7">
        <w:rPr>
          <w:rFonts w:cs="MyriadPro-BoldCond"/>
          <w:b/>
          <w:bCs/>
          <w:color w:val="2C0052"/>
          <w:sz w:val="20"/>
          <w:szCs w:val="20"/>
        </w:rPr>
        <w:t xml:space="preserve">   </w:t>
      </w:r>
      <w:r w:rsidRPr="00AF6FF7">
        <w:rPr>
          <w:rFonts w:cs="MyriadPro-SemiCn"/>
          <w:color w:val="000000"/>
          <w:sz w:val="20"/>
          <w:szCs w:val="20"/>
        </w:rPr>
        <w:t>A</w:t>
      </w:r>
      <w:proofErr w:type="gramEnd"/>
      <w:r w:rsidRPr="00AF6FF7">
        <w:rPr>
          <w:rFonts w:cs="MyriadPro-SemiCn"/>
          <w:color w:val="000000"/>
          <w:sz w:val="20"/>
          <w:szCs w:val="20"/>
        </w:rPr>
        <w:t xml:space="preserve"> separação dos poderes dos órgãos do governo federal: o Congresso exerce o poder</w:t>
      </w:r>
      <w:r>
        <w:rPr>
          <w:rFonts w:cs="MyriadPro-SemiCn"/>
          <w:color w:val="000000"/>
          <w:sz w:val="20"/>
          <w:szCs w:val="20"/>
        </w:rPr>
        <w:t xml:space="preserve"> </w:t>
      </w:r>
      <w:r w:rsidRPr="00AF6FF7">
        <w:rPr>
          <w:rFonts w:cs="MyriadPro-SemiCn"/>
          <w:color w:val="000000"/>
          <w:sz w:val="20"/>
          <w:szCs w:val="20"/>
        </w:rPr>
        <w:t>legislativo, o Presidente detém o poder executivo e aos Tribunais (Supremo e Inferiores)</w:t>
      </w:r>
      <w:r>
        <w:rPr>
          <w:rFonts w:cs="MyriadPro-SemiCn"/>
          <w:color w:val="000000"/>
          <w:sz w:val="20"/>
          <w:szCs w:val="20"/>
        </w:rPr>
        <w:t xml:space="preserve"> </w:t>
      </w:r>
      <w:r w:rsidRPr="00AF6FF7">
        <w:rPr>
          <w:rFonts w:cs="MyriadPro-SemiCn"/>
          <w:color w:val="000000"/>
          <w:sz w:val="20"/>
          <w:szCs w:val="20"/>
        </w:rPr>
        <w:t>cumpre o poder judicial.</w:t>
      </w:r>
    </w:p>
    <w:p w:rsidR="00AF6FF7" w:rsidRDefault="00AF6FF7" w:rsidP="00AF6FF7">
      <w:pPr>
        <w:autoSpaceDE w:val="0"/>
        <w:autoSpaceDN w:val="0"/>
        <w:adjustRightInd w:val="0"/>
        <w:spacing w:after="0" w:line="240" w:lineRule="auto"/>
        <w:rPr>
          <w:rFonts w:cs="BureauGrotCond-Bold"/>
          <w:b/>
          <w:bCs/>
          <w:color w:val="2C0052"/>
          <w:sz w:val="20"/>
          <w:szCs w:val="20"/>
        </w:rPr>
      </w:pPr>
    </w:p>
    <w:p w:rsidR="00AF6FF7" w:rsidRDefault="00AF6FF7" w:rsidP="002E63BD">
      <w:pPr>
        <w:autoSpaceDE w:val="0"/>
        <w:autoSpaceDN w:val="0"/>
        <w:adjustRightInd w:val="0"/>
        <w:spacing w:after="0" w:line="240" w:lineRule="auto"/>
        <w:jc w:val="center"/>
        <w:rPr>
          <w:rFonts w:cs="BureauGrotCond-Bold"/>
          <w:b/>
          <w:bCs/>
          <w:sz w:val="26"/>
          <w:szCs w:val="26"/>
        </w:rPr>
      </w:pPr>
      <w:r w:rsidRPr="002E63BD">
        <w:rPr>
          <w:rFonts w:cs="BureauGrotCond-Bold"/>
          <w:b/>
          <w:bCs/>
          <w:sz w:val="26"/>
          <w:szCs w:val="26"/>
        </w:rPr>
        <w:t>Grupo III</w:t>
      </w:r>
    </w:p>
    <w:p w:rsidR="002E63BD" w:rsidRPr="002E63BD" w:rsidRDefault="002E63BD" w:rsidP="002E63BD">
      <w:pPr>
        <w:autoSpaceDE w:val="0"/>
        <w:autoSpaceDN w:val="0"/>
        <w:adjustRightInd w:val="0"/>
        <w:spacing w:after="0" w:line="240" w:lineRule="auto"/>
        <w:jc w:val="center"/>
        <w:rPr>
          <w:rFonts w:cs="BureauGrotCond-Bold"/>
          <w:b/>
          <w:bCs/>
          <w:sz w:val="26"/>
          <w:szCs w:val="26"/>
        </w:rPr>
      </w:pPr>
    </w:p>
    <w:p w:rsidR="00972283" w:rsidRPr="00972283" w:rsidRDefault="00AF6FF7" w:rsidP="00972283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/>
          <w:bCs/>
          <w:color w:val="000000"/>
          <w:sz w:val="20"/>
          <w:szCs w:val="20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t>Indicar o nome do acontecimento que determinou as alterações verificadas no mapa.</w:t>
      </w:r>
    </w:p>
    <w:p w:rsidR="00AF6FF7" w:rsidRPr="002E63BD" w:rsidRDefault="002E63BD" w:rsidP="002E63BD">
      <w:pPr>
        <w:autoSpaceDE w:val="0"/>
        <w:autoSpaceDN w:val="0"/>
        <w:adjustRightInd w:val="0"/>
        <w:spacing w:after="0" w:line="240" w:lineRule="auto"/>
        <w:rPr>
          <w:rFonts w:cs="MyriadPro-SemiCn"/>
          <w:color w:val="000000"/>
          <w:sz w:val="20"/>
          <w:szCs w:val="20"/>
        </w:rPr>
      </w:pPr>
      <w:r>
        <w:rPr>
          <w:rFonts w:cs="MyriadPro-SemiCn"/>
          <w:color w:val="000000"/>
          <w:sz w:val="20"/>
          <w:szCs w:val="20"/>
        </w:rPr>
        <w:t xml:space="preserve">      G</w:t>
      </w:r>
      <w:r w:rsidR="00AF6FF7" w:rsidRPr="002E63BD">
        <w:rPr>
          <w:rFonts w:cs="MyriadPro-SemiCn"/>
          <w:color w:val="000000"/>
          <w:sz w:val="20"/>
          <w:szCs w:val="20"/>
        </w:rPr>
        <w:t>uerra dos Sete Anos.</w:t>
      </w:r>
      <w:r w:rsidR="008115E3" w:rsidRPr="002E63BD">
        <w:rPr>
          <w:rFonts w:cs="MyriadPro-SemiCn"/>
          <w:color w:val="000000"/>
          <w:sz w:val="20"/>
          <w:szCs w:val="20"/>
        </w:rPr>
        <w:t xml:space="preserve">     </w:t>
      </w:r>
    </w:p>
    <w:p w:rsidR="00AF6FF7" w:rsidRPr="00AF6FF7" w:rsidRDefault="00AF6FF7" w:rsidP="00AF6FF7">
      <w:pPr>
        <w:pStyle w:val="PargrafodaLista"/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</w:p>
    <w:p w:rsidR="00DE607D" w:rsidRDefault="00AF6FF7" w:rsidP="002E63BD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lastRenderedPageBreak/>
        <w:t>Apresentar, a partir do Doc. 1, dois motivos de satisfação dos colono</w:t>
      </w:r>
      <w:r w:rsidR="002E63BD">
        <w:rPr>
          <w:rFonts w:cs="MyriadPro-BoldSemiCn"/>
          <w:b/>
          <w:bCs/>
          <w:color w:val="000000"/>
          <w:sz w:val="20"/>
          <w:szCs w:val="20"/>
        </w:rPr>
        <w:t xml:space="preserve">s ingleses da América em 1763. </w:t>
      </w:r>
    </w:p>
    <w:p w:rsidR="00AF6FF7" w:rsidRDefault="002E63BD" w:rsidP="00DE607D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Cs/>
          <w:color w:val="000000"/>
          <w:sz w:val="20"/>
          <w:szCs w:val="20"/>
        </w:rPr>
      </w:pPr>
      <w:r w:rsidRPr="002E63BD">
        <w:rPr>
          <w:rFonts w:cs="MyriadPro-BoldSemiCn"/>
          <w:bCs/>
          <w:color w:val="000000"/>
          <w:sz w:val="20"/>
          <w:szCs w:val="20"/>
        </w:rPr>
        <w:t>(E</w:t>
      </w:r>
      <w:r w:rsidR="00AF6FF7" w:rsidRPr="002E63BD">
        <w:rPr>
          <w:rFonts w:cs="MyriadPro-BoldSemiCn"/>
          <w:bCs/>
          <w:color w:val="000000"/>
          <w:sz w:val="20"/>
          <w:szCs w:val="20"/>
        </w:rPr>
        <w:t>scolher dois)</w:t>
      </w:r>
    </w:p>
    <w:p w:rsidR="00DE607D" w:rsidRPr="00AF6FF7" w:rsidRDefault="00DE607D" w:rsidP="00DE607D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</w:p>
    <w:p w:rsidR="00AF6FF7" w:rsidRPr="00DE607D" w:rsidRDefault="00AF6FF7" w:rsidP="00DE607D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="MyriadPro-SemiCn"/>
          <w:color w:val="000000"/>
          <w:sz w:val="20"/>
          <w:szCs w:val="20"/>
        </w:rPr>
      </w:pPr>
      <w:r w:rsidRPr="00DE607D">
        <w:rPr>
          <w:rFonts w:cs="MyriadPro-SemiCn"/>
          <w:color w:val="000000"/>
          <w:sz w:val="20"/>
          <w:szCs w:val="20"/>
        </w:rPr>
        <w:t>A vitória da Inglaterra sobre</w:t>
      </w:r>
      <w:r w:rsidR="00972283" w:rsidRPr="00DE607D">
        <w:rPr>
          <w:rFonts w:cs="MyriadPro-SemiCn"/>
          <w:color w:val="000000"/>
          <w:sz w:val="20"/>
          <w:szCs w:val="20"/>
        </w:rPr>
        <w:t xml:space="preserve"> a França durante a guerra dos Sete</w:t>
      </w:r>
      <w:r w:rsidR="00B6157D" w:rsidRPr="00DE607D">
        <w:rPr>
          <w:rFonts w:cs="MyriadPro-SemiCn"/>
          <w:color w:val="000000"/>
          <w:sz w:val="20"/>
          <w:szCs w:val="20"/>
        </w:rPr>
        <w:t xml:space="preserve"> A</w:t>
      </w:r>
      <w:r w:rsidRPr="00DE607D">
        <w:rPr>
          <w:rFonts w:cs="MyriadPro-SemiCn"/>
          <w:color w:val="000000"/>
          <w:sz w:val="20"/>
          <w:szCs w:val="20"/>
        </w:rPr>
        <w:t>nos.</w:t>
      </w:r>
    </w:p>
    <w:p w:rsidR="00AF6FF7" w:rsidRPr="00DE607D" w:rsidRDefault="00AF6FF7" w:rsidP="00DE607D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="MyriadPro-SemiCn"/>
          <w:color w:val="000000"/>
          <w:sz w:val="20"/>
          <w:szCs w:val="20"/>
        </w:rPr>
      </w:pPr>
      <w:r w:rsidRPr="00DE607D">
        <w:rPr>
          <w:rFonts w:cs="MyriadPro-SemiCn"/>
          <w:color w:val="000000"/>
          <w:sz w:val="20"/>
          <w:szCs w:val="20"/>
        </w:rPr>
        <w:t>O aumento das possessões britânicas no Norte do continente americano.</w:t>
      </w:r>
    </w:p>
    <w:p w:rsidR="00AF6FF7" w:rsidRPr="00DE607D" w:rsidRDefault="00AF6FF7" w:rsidP="00DE607D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="MyriadPro-SemiCn"/>
          <w:color w:val="000000"/>
          <w:sz w:val="20"/>
          <w:szCs w:val="20"/>
        </w:rPr>
      </w:pPr>
      <w:r w:rsidRPr="00DE607D">
        <w:rPr>
          <w:rFonts w:cs="MyriadPro-SemiCn"/>
          <w:color w:val="000000"/>
          <w:sz w:val="20"/>
          <w:szCs w:val="20"/>
        </w:rPr>
        <w:t>A expetativa de poderem expandir os seus territórios para oeste.</w:t>
      </w:r>
    </w:p>
    <w:p w:rsidR="002E63BD" w:rsidRDefault="002E63BD" w:rsidP="002E63BD">
      <w:pPr>
        <w:pStyle w:val="PargrafodaLista"/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</w:p>
    <w:p w:rsidR="001C363E" w:rsidRDefault="00AF6FF7" w:rsidP="002E63BD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2E63BD">
        <w:rPr>
          <w:rFonts w:cs="MyriadPro-SemiCn"/>
          <w:color w:val="000000"/>
          <w:sz w:val="20"/>
          <w:szCs w:val="20"/>
        </w:rPr>
        <w:t xml:space="preserve">A </w:t>
      </w:r>
      <w:r w:rsidRPr="002E63BD">
        <w:rPr>
          <w:rFonts w:cs="MyriadPro-SemiCn"/>
          <w:i/>
          <w:color w:val="000000"/>
          <w:sz w:val="20"/>
          <w:szCs w:val="20"/>
        </w:rPr>
        <w:t>Lei do Selo</w:t>
      </w:r>
      <w:r w:rsidRPr="002E63BD">
        <w:rPr>
          <w:rFonts w:cs="MyriadPro-SemiCn"/>
          <w:color w:val="000000"/>
          <w:sz w:val="20"/>
          <w:szCs w:val="20"/>
        </w:rPr>
        <w:t xml:space="preserve"> estabeleci</w:t>
      </w:r>
      <w:r w:rsidR="00B823F5" w:rsidRPr="002E63BD">
        <w:rPr>
          <w:rFonts w:cs="MyriadPro-SemiCn"/>
          <w:color w:val="000000"/>
          <w:sz w:val="20"/>
          <w:szCs w:val="20"/>
        </w:rPr>
        <w:t>a</w:t>
      </w:r>
      <w:r w:rsidR="001C363E">
        <w:rPr>
          <w:rFonts w:cs="MyriadPro-SemiCn"/>
          <w:color w:val="000000"/>
          <w:sz w:val="20"/>
          <w:szCs w:val="20"/>
        </w:rPr>
        <w:t xml:space="preserve"> </w:t>
      </w:r>
      <w:proofErr w:type="gramStart"/>
      <w:r w:rsidR="001C363E">
        <w:rPr>
          <w:rFonts w:cs="MyriadPro-SemiCn"/>
          <w:color w:val="000000"/>
          <w:sz w:val="20"/>
          <w:szCs w:val="20"/>
        </w:rPr>
        <w:t>que</w:t>
      </w:r>
      <w:proofErr w:type="gramEnd"/>
      <w:r w:rsidR="001C363E">
        <w:rPr>
          <w:rFonts w:cs="MyriadPro-SemiCn"/>
          <w:color w:val="000000"/>
          <w:sz w:val="20"/>
          <w:szCs w:val="20"/>
        </w:rPr>
        <w:t>:</w:t>
      </w:r>
    </w:p>
    <w:p w:rsidR="00AF6FF7" w:rsidRDefault="00AF6FF7" w:rsidP="001C363E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AF6FF7">
        <w:rPr>
          <w:rFonts w:cs="MyriadPro-SemiCn"/>
          <w:color w:val="000000"/>
          <w:sz w:val="20"/>
          <w:szCs w:val="20"/>
        </w:rPr>
        <w:t>todos</w:t>
      </w:r>
      <w:proofErr w:type="gramEnd"/>
      <w:r w:rsidRPr="00AF6FF7">
        <w:rPr>
          <w:rFonts w:cs="MyriadPro-SemiCn"/>
          <w:color w:val="000000"/>
          <w:sz w:val="20"/>
          <w:szCs w:val="20"/>
        </w:rPr>
        <w:t xml:space="preserve"> os documentos em circulação </w:t>
      </w:r>
      <w:r w:rsidR="00B823F5" w:rsidRPr="002E63BD">
        <w:rPr>
          <w:rFonts w:cs="MyriadPro-SemiCn"/>
          <w:color w:val="000000"/>
          <w:sz w:val="20"/>
          <w:szCs w:val="20"/>
        </w:rPr>
        <w:t>nas</w:t>
      </w:r>
      <w:r w:rsidRPr="002E63BD">
        <w:rPr>
          <w:rFonts w:cs="MyriadPro-SemiCn"/>
          <w:color w:val="000000"/>
          <w:sz w:val="20"/>
          <w:szCs w:val="20"/>
        </w:rPr>
        <w:t xml:space="preserve"> col</w:t>
      </w:r>
      <w:r w:rsidR="00B823F5" w:rsidRPr="002E63BD">
        <w:rPr>
          <w:rFonts w:cs="MyriadPro-SemiCn"/>
          <w:color w:val="000000"/>
          <w:sz w:val="20"/>
          <w:szCs w:val="20"/>
        </w:rPr>
        <w:t>ónias</w:t>
      </w:r>
      <w:r w:rsidRPr="002E63BD">
        <w:rPr>
          <w:rFonts w:cs="MyriadPro-SemiCn"/>
          <w:color w:val="000000"/>
          <w:sz w:val="20"/>
          <w:szCs w:val="20"/>
        </w:rPr>
        <w:t xml:space="preserve"> americanas</w:t>
      </w:r>
      <w:r>
        <w:rPr>
          <w:rFonts w:cs="MyriadPro-SemiCn"/>
          <w:color w:val="000000"/>
          <w:sz w:val="20"/>
          <w:szCs w:val="20"/>
        </w:rPr>
        <w:t xml:space="preserve"> </w:t>
      </w:r>
      <w:r w:rsidRPr="00AF6FF7">
        <w:rPr>
          <w:rFonts w:cs="MyriadPro-SemiCn"/>
          <w:color w:val="000000"/>
          <w:sz w:val="20"/>
          <w:szCs w:val="20"/>
        </w:rPr>
        <w:t>deveriam receber selos provenientes da metrópole.</w:t>
      </w:r>
    </w:p>
    <w:p w:rsidR="00AF6FF7" w:rsidRPr="00AF6FF7" w:rsidRDefault="00AF6FF7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SemiCn"/>
          <w:color w:val="000000"/>
          <w:sz w:val="20"/>
          <w:szCs w:val="20"/>
        </w:rPr>
      </w:pPr>
    </w:p>
    <w:p w:rsidR="00DE607D" w:rsidRDefault="00AF6FF7" w:rsidP="002E63BD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t xml:space="preserve">Apontar, a partir dos Docs. 2 </w:t>
      </w:r>
      <w:proofErr w:type="gramStart"/>
      <w:r w:rsidRPr="00AF6FF7">
        <w:rPr>
          <w:rFonts w:cs="MyriadPro-BoldSemiCn"/>
          <w:b/>
          <w:bCs/>
          <w:color w:val="000000"/>
          <w:sz w:val="20"/>
          <w:szCs w:val="20"/>
        </w:rPr>
        <w:t>e</w:t>
      </w:r>
      <w:proofErr w:type="gramEnd"/>
      <w:r w:rsidRPr="00AF6FF7">
        <w:rPr>
          <w:rFonts w:cs="MyriadPro-BoldSemiCn"/>
          <w:b/>
          <w:bCs/>
          <w:color w:val="000000"/>
          <w:sz w:val="20"/>
          <w:szCs w:val="20"/>
        </w:rPr>
        <w:t xml:space="preserve"> 3, três injúrias e desvantagens da ligação das colónias americanas à Grã-Bretanha</w:t>
      </w:r>
      <w:r w:rsidR="002E63BD">
        <w:rPr>
          <w:rFonts w:cs="MyriadPro-BoldSemiCn"/>
          <w:b/>
          <w:bCs/>
          <w:color w:val="000000"/>
          <w:sz w:val="20"/>
          <w:szCs w:val="20"/>
        </w:rPr>
        <w:t xml:space="preserve">. </w:t>
      </w:r>
    </w:p>
    <w:p w:rsidR="002E63BD" w:rsidRDefault="002E63BD" w:rsidP="00DE607D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Cs/>
          <w:color w:val="000000"/>
          <w:sz w:val="20"/>
          <w:szCs w:val="20"/>
        </w:rPr>
      </w:pPr>
      <w:r w:rsidRPr="002E63BD">
        <w:rPr>
          <w:rFonts w:cs="MyriadPro-BoldSemiCn"/>
          <w:bCs/>
          <w:color w:val="000000"/>
          <w:sz w:val="20"/>
          <w:szCs w:val="20"/>
        </w:rPr>
        <w:t>(E</w:t>
      </w:r>
      <w:r w:rsidR="00AF6FF7" w:rsidRPr="002E63BD">
        <w:rPr>
          <w:rFonts w:cs="MyriadPro-BoldSemiCn"/>
          <w:bCs/>
          <w:color w:val="000000"/>
          <w:sz w:val="20"/>
          <w:szCs w:val="20"/>
        </w:rPr>
        <w:t>scolher 3)</w:t>
      </w:r>
    </w:p>
    <w:p w:rsidR="00DE607D" w:rsidRPr="002E63BD" w:rsidRDefault="00DE607D" w:rsidP="00DE607D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</w:p>
    <w:p w:rsidR="00AF6FF7" w:rsidRPr="00AF6FF7" w:rsidRDefault="00AF6FF7" w:rsidP="002E63B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A indiferença da Inglaterra em relação aos inter</w:t>
      </w:r>
      <w:r w:rsidRPr="002E63BD">
        <w:rPr>
          <w:rFonts w:cs="MyriadPro-SemiCn"/>
          <w:color w:val="000000"/>
          <w:sz w:val="20"/>
          <w:szCs w:val="20"/>
        </w:rPr>
        <w:t>es</w:t>
      </w:r>
      <w:r w:rsidR="009D6741" w:rsidRPr="002E63BD">
        <w:rPr>
          <w:rFonts w:cs="MyriadPro-SemiCn"/>
          <w:color w:val="000000"/>
          <w:sz w:val="20"/>
          <w:szCs w:val="20"/>
        </w:rPr>
        <w:t>s</w:t>
      </w:r>
      <w:r w:rsidRPr="002E63BD">
        <w:rPr>
          <w:rFonts w:cs="MyriadPro-SemiCn"/>
          <w:color w:val="000000"/>
          <w:sz w:val="20"/>
          <w:szCs w:val="20"/>
        </w:rPr>
        <w:t>e</w:t>
      </w:r>
      <w:r w:rsidRPr="00AF6FF7">
        <w:rPr>
          <w:rFonts w:cs="MyriadPro-SemiCn"/>
          <w:color w:val="000000"/>
          <w:sz w:val="20"/>
          <w:szCs w:val="20"/>
        </w:rPr>
        <w:t>s e necessidades das colónias OU a falta de uma verdadeira e desinteressada proteção da Inglaterra às colónias.</w:t>
      </w:r>
    </w:p>
    <w:p w:rsidR="00AF6FF7" w:rsidRPr="00AF6FF7" w:rsidRDefault="00AF6FF7" w:rsidP="002E63B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O lançamento de taxas, aprovadas pelo Parlamento britânico sem a presença de representantes das colónias.</w:t>
      </w:r>
    </w:p>
    <w:p w:rsidR="00AF6FF7" w:rsidRPr="00AF6FF7" w:rsidRDefault="00AF6FF7" w:rsidP="002E63B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O pacto colonial que obrigava as colónias a manterem a exclusividade de comércio com a metrópole, o que prejudicava os negócios dos colonos e limitava o desenvolvimento das colónias.</w:t>
      </w:r>
    </w:p>
    <w:p w:rsidR="00AF6FF7" w:rsidRDefault="00AF6FF7" w:rsidP="002E63B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As represálias exercidas sobre as colónias, como o encerramento do porto de Boston OU o envio de tropas britânicas.</w:t>
      </w:r>
    </w:p>
    <w:p w:rsidR="00AF6FF7" w:rsidRPr="00AF6FF7" w:rsidRDefault="00AF6FF7" w:rsidP="00AF6FF7">
      <w:pPr>
        <w:pStyle w:val="PargrafodaLista"/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</w:p>
    <w:p w:rsidR="00AF6FF7" w:rsidRPr="00AF6FF7" w:rsidRDefault="00AF6FF7" w:rsidP="00BD41E6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/>
          <w:bCs/>
          <w:color w:val="000000"/>
          <w:sz w:val="20"/>
          <w:szCs w:val="20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t>Desenvolver o tema:</w:t>
      </w:r>
    </w:p>
    <w:p w:rsidR="00AF6FF7" w:rsidRPr="00820E01" w:rsidRDefault="00AF6FF7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/>
          <w:bCs/>
          <w:i/>
          <w:color w:val="000000"/>
          <w:sz w:val="20"/>
          <w:szCs w:val="20"/>
        </w:rPr>
      </w:pPr>
      <w:r w:rsidRPr="00820E01">
        <w:rPr>
          <w:rFonts w:cs="MyriadPro-BoldSemiCn"/>
          <w:b/>
          <w:bCs/>
          <w:i/>
          <w:color w:val="000000"/>
          <w:sz w:val="20"/>
          <w:szCs w:val="20"/>
        </w:rPr>
        <w:t>A reação ao colonialismo e o nascimento de uma nova nação</w:t>
      </w:r>
    </w:p>
    <w:p w:rsidR="00921F15" w:rsidRDefault="00921F15" w:rsidP="00921F15">
      <w:pPr>
        <w:autoSpaceDE w:val="0"/>
        <w:autoSpaceDN w:val="0"/>
        <w:adjustRightInd w:val="0"/>
        <w:spacing w:after="0" w:line="240" w:lineRule="auto"/>
        <w:rPr>
          <w:rFonts w:cs="MyriadPro-SemiCnIt"/>
          <w:iCs/>
          <w:color w:val="000000"/>
          <w:sz w:val="20"/>
          <w:szCs w:val="20"/>
        </w:rPr>
      </w:pPr>
    </w:p>
    <w:p w:rsidR="00AF6FF7" w:rsidRPr="00921F15" w:rsidRDefault="00AF6FF7" w:rsidP="00921F15">
      <w:pPr>
        <w:autoSpaceDE w:val="0"/>
        <w:autoSpaceDN w:val="0"/>
        <w:adjustRightInd w:val="0"/>
        <w:spacing w:after="0" w:line="240" w:lineRule="auto"/>
        <w:ind w:firstLine="283"/>
        <w:rPr>
          <w:rFonts w:cs="MyriadPro-SemiCnIt"/>
          <w:b/>
          <w:iCs/>
          <w:color w:val="000000"/>
          <w:sz w:val="20"/>
          <w:szCs w:val="20"/>
        </w:rPr>
      </w:pPr>
      <w:r w:rsidRPr="00921F15">
        <w:rPr>
          <w:rFonts w:cs="MyriadPro-SemiCnIt"/>
          <w:b/>
          <w:iCs/>
          <w:color w:val="000000"/>
          <w:sz w:val="20"/>
          <w:szCs w:val="20"/>
        </w:rPr>
        <w:t xml:space="preserve">Integrar dois </w:t>
      </w:r>
      <w:r w:rsidR="006677B6" w:rsidRPr="00921F15">
        <w:rPr>
          <w:rFonts w:cs="MyriadPro-SemiCnIt"/>
          <w:b/>
          <w:iCs/>
          <w:color w:val="000000"/>
          <w:sz w:val="20"/>
          <w:szCs w:val="20"/>
        </w:rPr>
        <w:t>aspetos para cada um dos tópicos de desenvolvimento</w:t>
      </w:r>
      <w:r w:rsidRPr="00921F15">
        <w:rPr>
          <w:rFonts w:cs="MyriadPro-SemiCnIt"/>
          <w:b/>
          <w:iCs/>
          <w:color w:val="000000"/>
          <w:sz w:val="20"/>
          <w:szCs w:val="20"/>
        </w:rPr>
        <w:t>:</w:t>
      </w:r>
    </w:p>
    <w:p w:rsidR="00921F15" w:rsidRPr="00921F15" w:rsidRDefault="00921F15" w:rsidP="00921F15">
      <w:pPr>
        <w:autoSpaceDE w:val="0"/>
        <w:autoSpaceDN w:val="0"/>
        <w:adjustRightInd w:val="0"/>
        <w:spacing w:after="0" w:line="240" w:lineRule="auto"/>
        <w:ind w:firstLine="283"/>
        <w:rPr>
          <w:rFonts w:cs="MyriadPro-SemiCnIt"/>
          <w:iCs/>
          <w:color w:val="000000"/>
          <w:sz w:val="20"/>
          <w:szCs w:val="20"/>
        </w:rPr>
      </w:pPr>
    </w:p>
    <w:p w:rsidR="00820E01" w:rsidRPr="00921F15" w:rsidRDefault="00AF6FF7" w:rsidP="00921F15">
      <w:pPr>
        <w:autoSpaceDE w:val="0"/>
        <w:autoSpaceDN w:val="0"/>
        <w:adjustRightInd w:val="0"/>
        <w:spacing w:after="0" w:line="240" w:lineRule="auto"/>
        <w:ind w:firstLine="283"/>
        <w:rPr>
          <w:rFonts w:cs="MyriadPro-BoldSemiCn"/>
          <w:b/>
          <w:bCs/>
          <w:color w:val="000000"/>
          <w:sz w:val="20"/>
          <w:szCs w:val="20"/>
        </w:rPr>
      </w:pPr>
      <w:r w:rsidRPr="00921F15">
        <w:rPr>
          <w:rFonts w:cs="MyriadPro-BoldSemiCn"/>
          <w:b/>
          <w:bCs/>
          <w:color w:val="000000"/>
          <w:sz w:val="20"/>
          <w:szCs w:val="20"/>
        </w:rPr>
        <w:t>A política colonial inglesa na América do Norte, na segunda metade do século XVIII</w:t>
      </w:r>
    </w:p>
    <w:p w:rsidR="00AF6FF7" w:rsidRPr="00820E01" w:rsidRDefault="006677B6" w:rsidP="00820E01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Cs/>
          <w:color w:val="000000"/>
          <w:sz w:val="20"/>
          <w:szCs w:val="20"/>
        </w:rPr>
      </w:pPr>
      <w:r w:rsidRPr="00820E01">
        <w:rPr>
          <w:rFonts w:cs="MyriadPro-BoldSemiCn"/>
          <w:b/>
          <w:bCs/>
          <w:color w:val="000000"/>
          <w:sz w:val="20"/>
          <w:szCs w:val="20"/>
        </w:rPr>
        <w:t xml:space="preserve"> </w:t>
      </w:r>
      <w:r w:rsidR="00820E01" w:rsidRPr="00820E01">
        <w:rPr>
          <w:rFonts w:cs="MyriadPro-BoldSemiCn"/>
          <w:bCs/>
          <w:color w:val="000000"/>
          <w:sz w:val="20"/>
          <w:szCs w:val="20"/>
        </w:rPr>
        <w:t>(E</w:t>
      </w:r>
      <w:r w:rsidRPr="00820E01">
        <w:rPr>
          <w:rFonts w:cs="MyriadPro-BoldSemiCn"/>
          <w:bCs/>
          <w:color w:val="000000"/>
          <w:sz w:val="20"/>
          <w:szCs w:val="20"/>
        </w:rPr>
        <w:t>scolher dois)</w:t>
      </w:r>
    </w:p>
    <w:p w:rsidR="00820E01" w:rsidRPr="00820E01" w:rsidRDefault="00820E01" w:rsidP="00820E01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/>
          <w:bCs/>
          <w:color w:val="000000"/>
          <w:sz w:val="20"/>
          <w:szCs w:val="20"/>
        </w:rPr>
      </w:pPr>
    </w:p>
    <w:p w:rsidR="00AF6FF7" w:rsidRPr="00AF6FF7" w:rsidRDefault="00AF6FF7" w:rsidP="00820E01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A guerra dos Sete Anos (1756- 1763) entre a França e a Inglaterra pela expansão das suas colónias. Na América do Norte, a vitória inglesa nesta guerra saldou-se na dilatação das áreas coloniais (Canadá, o vale do Oaio, a margem esquerda do Mississípi) (Doc. 1).</w:t>
      </w:r>
    </w:p>
    <w:p w:rsidR="00AF6FF7" w:rsidRPr="00AF6FF7" w:rsidRDefault="00AF6FF7" w:rsidP="00820E01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O impedimento da expansão das colónias para oeste devido à criação, pela coroa britânica, de uma reserva índia a oeste dos Apalaches.</w:t>
      </w:r>
    </w:p>
    <w:p w:rsidR="00AF6FF7" w:rsidRPr="00AF6FF7" w:rsidRDefault="00AF6FF7" w:rsidP="00820E01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 xml:space="preserve">A aprovação, pelo parlamento </w:t>
      </w:r>
      <w:r w:rsidRPr="00820E01">
        <w:rPr>
          <w:rFonts w:cs="MyriadPro-SemiCn"/>
          <w:color w:val="000000"/>
          <w:sz w:val="20"/>
          <w:szCs w:val="20"/>
        </w:rPr>
        <w:t>britânico,</w:t>
      </w:r>
      <w:r w:rsidR="00B6157D" w:rsidRPr="00820E01">
        <w:rPr>
          <w:rFonts w:cs="MyriadPro-SemiCn"/>
          <w:color w:val="000000"/>
          <w:sz w:val="20"/>
          <w:szCs w:val="20"/>
        </w:rPr>
        <w:t xml:space="preserve"> </w:t>
      </w:r>
      <w:r w:rsidRPr="00820E01">
        <w:rPr>
          <w:rFonts w:cs="MyriadPro-SemiCn"/>
          <w:color w:val="000000"/>
          <w:sz w:val="20"/>
          <w:szCs w:val="20"/>
        </w:rPr>
        <w:t>de</w:t>
      </w:r>
      <w:r w:rsidRPr="00AF6FF7">
        <w:rPr>
          <w:rFonts w:cs="MyriadPro-SemiCn"/>
          <w:color w:val="000000"/>
          <w:sz w:val="20"/>
          <w:szCs w:val="20"/>
        </w:rPr>
        <w:t xml:space="preserve"> novos impostos a serem suportados pelos colonos como forma destes contribuírem para as despesas tidas pelo Estado na guerra, alegadamente, para a proteção dos seus territórios:</w:t>
      </w:r>
    </w:p>
    <w:p w:rsidR="00AF6FF7" w:rsidRPr="00AF6FF7" w:rsidRDefault="00AF6FF7" w:rsidP="00820E01">
      <w:pPr>
        <w:pStyle w:val="PargrafodaLista"/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 xml:space="preserve">– </w:t>
      </w:r>
      <w:proofErr w:type="gramStart"/>
      <w:r w:rsidRPr="00AF6FF7">
        <w:rPr>
          <w:rFonts w:cs="MyriadPro-SemiCn"/>
          <w:color w:val="000000"/>
          <w:sz w:val="20"/>
          <w:szCs w:val="20"/>
        </w:rPr>
        <w:t>taxas</w:t>
      </w:r>
      <w:proofErr w:type="gramEnd"/>
      <w:r w:rsidRPr="00AF6FF7">
        <w:rPr>
          <w:rFonts w:cs="MyriadPro-SemiCn"/>
          <w:color w:val="000000"/>
          <w:sz w:val="20"/>
          <w:szCs w:val="20"/>
        </w:rPr>
        <w:t xml:space="preserve"> aduaneiras sobre as importações de melaço, vidro, papel, chumbo e chá;</w:t>
      </w:r>
    </w:p>
    <w:p w:rsidR="00AF6FF7" w:rsidRPr="00AF6FF7" w:rsidRDefault="00AF6FF7" w:rsidP="00820E01">
      <w:pPr>
        <w:pStyle w:val="PargrafodaLista"/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 xml:space="preserve">– </w:t>
      </w:r>
      <w:proofErr w:type="gramStart"/>
      <w:r w:rsidRPr="00AF6FF7">
        <w:rPr>
          <w:rFonts w:cs="MyriadPro-SemiCn"/>
          <w:color w:val="000000"/>
          <w:sz w:val="20"/>
          <w:szCs w:val="20"/>
        </w:rPr>
        <w:t>imposto</w:t>
      </w:r>
      <w:proofErr w:type="gramEnd"/>
      <w:r w:rsidRPr="00AF6FF7">
        <w:rPr>
          <w:rFonts w:cs="MyriadPro-SemiCn"/>
          <w:color w:val="000000"/>
          <w:sz w:val="20"/>
          <w:szCs w:val="20"/>
        </w:rPr>
        <w:t xml:space="preserve"> de selo sobre todos os documentos legais e publicações periódicas (Doc. 2).</w:t>
      </w:r>
    </w:p>
    <w:p w:rsidR="00AF6FF7" w:rsidRPr="00AF6FF7" w:rsidRDefault="00AF6FF7" w:rsidP="00820E01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A vigência do pacto colonial que submetia as colónias à exclusividade de comércio com Inglaterra.</w:t>
      </w:r>
    </w:p>
    <w:p w:rsidR="00AF6FF7" w:rsidRDefault="00AF6FF7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/>
          <w:bCs/>
          <w:color w:val="000000"/>
          <w:sz w:val="20"/>
          <w:szCs w:val="20"/>
        </w:rPr>
      </w:pPr>
    </w:p>
    <w:p w:rsidR="00820E01" w:rsidRDefault="00AF6FF7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/>
          <w:bCs/>
          <w:color w:val="000000"/>
          <w:sz w:val="20"/>
          <w:szCs w:val="20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t>A reação das colónias</w:t>
      </w:r>
    </w:p>
    <w:p w:rsidR="00AF6FF7" w:rsidRDefault="00820E01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Cs/>
          <w:color w:val="000000"/>
          <w:sz w:val="20"/>
          <w:szCs w:val="20"/>
        </w:rPr>
      </w:pPr>
      <w:r w:rsidRPr="00820E01">
        <w:rPr>
          <w:rFonts w:cs="MyriadPro-BoldSemiCn"/>
          <w:bCs/>
          <w:color w:val="000000"/>
          <w:sz w:val="20"/>
          <w:szCs w:val="20"/>
        </w:rPr>
        <w:t>(E</w:t>
      </w:r>
      <w:r w:rsidR="006677B6" w:rsidRPr="00820E01">
        <w:rPr>
          <w:rFonts w:cs="MyriadPro-BoldSemiCn"/>
          <w:bCs/>
          <w:color w:val="000000"/>
          <w:sz w:val="20"/>
          <w:szCs w:val="20"/>
        </w:rPr>
        <w:t>scolher dois)</w:t>
      </w:r>
    </w:p>
    <w:p w:rsidR="00820E01" w:rsidRPr="00820E01" w:rsidRDefault="00820E01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Cs/>
          <w:color w:val="000000"/>
          <w:sz w:val="20"/>
          <w:szCs w:val="20"/>
        </w:rPr>
      </w:pPr>
    </w:p>
    <w:p w:rsidR="00AF6FF7" w:rsidRPr="00AF6FF7" w:rsidRDefault="00AF6FF7" w:rsidP="00820E01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 xml:space="preserve">O </w:t>
      </w:r>
      <w:proofErr w:type="spellStart"/>
      <w:r w:rsidRPr="00AF6FF7">
        <w:rPr>
          <w:rFonts w:cs="MyriadPro-SemiCnIt"/>
          <w:i/>
          <w:iCs/>
          <w:color w:val="000000"/>
          <w:sz w:val="20"/>
          <w:szCs w:val="20"/>
        </w:rPr>
        <w:t>Stamp</w:t>
      </w:r>
      <w:proofErr w:type="spellEnd"/>
      <w:r w:rsidRPr="00AF6FF7">
        <w:rPr>
          <w:rFonts w:cs="MyriadPro-SemiCnIt"/>
          <w:i/>
          <w:iCs/>
          <w:color w:val="000000"/>
          <w:sz w:val="20"/>
          <w:szCs w:val="20"/>
        </w:rPr>
        <w:t xml:space="preserve"> </w:t>
      </w:r>
      <w:proofErr w:type="spellStart"/>
      <w:r w:rsidRPr="00AF6FF7">
        <w:rPr>
          <w:rFonts w:cs="MyriadPro-SemiCnIt"/>
          <w:i/>
          <w:iCs/>
          <w:color w:val="000000"/>
          <w:sz w:val="20"/>
          <w:szCs w:val="20"/>
        </w:rPr>
        <w:t>Act</w:t>
      </w:r>
      <w:proofErr w:type="spellEnd"/>
      <w:r w:rsidRPr="00AF6FF7">
        <w:rPr>
          <w:rFonts w:cs="MyriadPro-SemiCnIt"/>
          <w:i/>
          <w:iCs/>
          <w:color w:val="000000"/>
          <w:sz w:val="20"/>
          <w:szCs w:val="20"/>
        </w:rPr>
        <w:t xml:space="preserve"> </w:t>
      </w:r>
      <w:proofErr w:type="spellStart"/>
      <w:r w:rsidRPr="00AF6FF7">
        <w:rPr>
          <w:rFonts w:cs="MyriadPro-SemiCnIt"/>
          <w:i/>
          <w:iCs/>
          <w:color w:val="000000"/>
          <w:sz w:val="20"/>
          <w:szCs w:val="20"/>
        </w:rPr>
        <w:t>Congress</w:t>
      </w:r>
      <w:proofErr w:type="spellEnd"/>
      <w:r w:rsidRPr="00AF6FF7">
        <w:rPr>
          <w:rFonts w:cs="MyriadPro-SemiCnIt"/>
          <w:i/>
          <w:iCs/>
          <w:color w:val="000000"/>
          <w:sz w:val="20"/>
          <w:szCs w:val="20"/>
        </w:rPr>
        <w:t xml:space="preserve"> </w:t>
      </w:r>
      <w:r w:rsidRPr="00AF6FF7">
        <w:rPr>
          <w:rFonts w:cs="MyriadPro-SemiCn"/>
          <w:color w:val="000000"/>
          <w:sz w:val="20"/>
          <w:szCs w:val="20"/>
        </w:rPr>
        <w:t>(Nova Iorque, Outubro de 1765): os representantes de nove das colónias rejeitaram o pagamento de qualquer contribuição sem que estas tivessem sido aprovadas pelos representantes das colónias.</w:t>
      </w:r>
    </w:p>
    <w:p w:rsidR="00AF6FF7" w:rsidRPr="00AF6FF7" w:rsidRDefault="00AF6FF7" w:rsidP="00820E01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A desobediência ao exclusivo colonial: os colonos boicotaram as mercadorias inglesas.</w:t>
      </w:r>
    </w:p>
    <w:p w:rsidR="00AF6FF7" w:rsidRPr="00AF6FF7" w:rsidRDefault="00AF6FF7" w:rsidP="00820E01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 xml:space="preserve">A oposição popular: o “Boston </w:t>
      </w:r>
      <w:proofErr w:type="spellStart"/>
      <w:r w:rsidRPr="00AF6FF7">
        <w:rPr>
          <w:rFonts w:cs="MyriadPro-SemiCn"/>
          <w:color w:val="000000"/>
          <w:sz w:val="20"/>
          <w:szCs w:val="20"/>
        </w:rPr>
        <w:t>Tea</w:t>
      </w:r>
      <w:proofErr w:type="spellEnd"/>
      <w:r w:rsidRPr="00AF6FF7">
        <w:rPr>
          <w:rFonts w:cs="MyriadPro-SemiCn"/>
          <w:color w:val="000000"/>
          <w:sz w:val="20"/>
          <w:szCs w:val="20"/>
        </w:rPr>
        <w:t xml:space="preserve"> </w:t>
      </w:r>
      <w:proofErr w:type="spellStart"/>
      <w:r w:rsidRPr="00AF6FF7">
        <w:rPr>
          <w:rFonts w:cs="MyriadPro-SemiCn"/>
          <w:color w:val="000000"/>
          <w:sz w:val="20"/>
          <w:szCs w:val="20"/>
        </w:rPr>
        <w:t>Party</w:t>
      </w:r>
      <w:proofErr w:type="spellEnd"/>
      <w:r w:rsidRPr="00AF6FF7">
        <w:rPr>
          <w:rFonts w:cs="MyriadPro-SemiCn"/>
          <w:color w:val="000000"/>
          <w:sz w:val="20"/>
          <w:szCs w:val="20"/>
        </w:rPr>
        <w:t>” protagonizado por um grupo de jovens disfarçado de índios, que lançou ao mar o carregamento de chá transportado pela Companhia das Índias;</w:t>
      </w:r>
    </w:p>
    <w:p w:rsidR="00DE607D" w:rsidRDefault="00AF6FF7" w:rsidP="00DE607D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lastRenderedPageBreak/>
        <w:t>A organização de um dispositivo revolucionário: a mobilização da população através de jornais e panfletos (Doc. 3), a angariação de apoios através de comités de correspondência, a congregação das colónias em congressos, a organização de milícias armadas.</w:t>
      </w:r>
    </w:p>
    <w:p w:rsidR="001C363E" w:rsidRPr="00DE607D" w:rsidRDefault="001C363E" w:rsidP="001C363E">
      <w:pPr>
        <w:pStyle w:val="PargrafodaLista"/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bookmarkStart w:id="0" w:name="_GoBack"/>
      <w:bookmarkEnd w:id="0"/>
    </w:p>
    <w:p w:rsidR="00820E01" w:rsidRDefault="00AF6FF7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/>
          <w:bCs/>
          <w:color w:val="000000"/>
          <w:sz w:val="20"/>
          <w:szCs w:val="20"/>
          <w:highlight w:val="yellow"/>
        </w:rPr>
      </w:pPr>
      <w:r w:rsidRPr="00AF6FF7">
        <w:rPr>
          <w:rFonts w:cs="MyriadPro-BoldSemiCn"/>
          <w:b/>
          <w:bCs/>
          <w:color w:val="000000"/>
          <w:sz w:val="20"/>
          <w:szCs w:val="20"/>
        </w:rPr>
        <w:t>O significado da Declaração de Independência dos EUA</w:t>
      </w:r>
      <w:r w:rsidR="006677B6">
        <w:rPr>
          <w:rFonts w:cs="MyriadPro-BoldSemiCn"/>
          <w:b/>
          <w:bCs/>
          <w:color w:val="000000"/>
          <w:sz w:val="20"/>
          <w:szCs w:val="20"/>
        </w:rPr>
        <w:t xml:space="preserve"> </w:t>
      </w:r>
    </w:p>
    <w:p w:rsidR="00AF6FF7" w:rsidRDefault="00820E01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Cs/>
          <w:color w:val="000000"/>
          <w:sz w:val="20"/>
          <w:szCs w:val="20"/>
        </w:rPr>
      </w:pPr>
      <w:r w:rsidRPr="00820E01">
        <w:rPr>
          <w:rFonts w:cs="MyriadPro-BoldSemiCn"/>
          <w:bCs/>
          <w:color w:val="000000"/>
          <w:sz w:val="20"/>
          <w:szCs w:val="20"/>
        </w:rPr>
        <w:t>(Escolher dois)</w:t>
      </w:r>
    </w:p>
    <w:p w:rsidR="00DE607D" w:rsidRPr="00820E01" w:rsidRDefault="00DE607D" w:rsidP="00AF6FF7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Cs/>
          <w:color w:val="000000"/>
          <w:sz w:val="20"/>
          <w:szCs w:val="20"/>
        </w:rPr>
      </w:pPr>
    </w:p>
    <w:p w:rsidR="00AF6FF7" w:rsidRPr="00AF6FF7" w:rsidRDefault="00AF6FF7" w:rsidP="00DE607D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A rutura definitiva com a Inglaterra (metrópole) (Doc. 4).</w:t>
      </w:r>
    </w:p>
    <w:p w:rsidR="00AF6FF7" w:rsidRPr="00AF6FF7" w:rsidRDefault="00AF6FF7" w:rsidP="00DE607D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A assunção das 13 colónias como Estados independentes (EUA) – (Doc. 4).</w:t>
      </w:r>
    </w:p>
    <w:p w:rsidR="00B6221A" w:rsidRPr="00AF6FF7" w:rsidRDefault="00AF6FF7" w:rsidP="00DE607D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 New Roman"/>
          <w:sz w:val="20"/>
          <w:szCs w:val="20"/>
        </w:rPr>
      </w:pPr>
      <w:r w:rsidRPr="00AF6FF7">
        <w:rPr>
          <w:rFonts w:cs="MyriadPro-SemiCn"/>
          <w:color w:val="000000"/>
          <w:sz w:val="20"/>
          <w:szCs w:val="20"/>
        </w:rPr>
        <w:t>A legitimação da independência com base nos princípios iluministas da igualdade, liberdade, contrato social e soberania popular (Doc. 4).</w:t>
      </w:r>
    </w:p>
    <w:sectPr w:rsidR="00B6221A" w:rsidRPr="00AF6FF7" w:rsidSect="00AF6FF7">
      <w:footerReference w:type="default" r:id="rId8"/>
      <w:pgSz w:w="11906" w:h="16838" w:code="9"/>
      <w:pgMar w:top="1418" w:right="1701" w:bottom="1418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BF9" w:rsidRDefault="00787BF9" w:rsidP="00195CA3">
      <w:pPr>
        <w:spacing w:after="0" w:line="240" w:lineRule="auto"/>
      </w:pPr>
      <w:r>
        <w:separator/>
      </w:r>
    </w:p>
  </w:endnote>
  <w:endnote w:type="continuationSeparator" w:id="0">
    <w:p w:rsidR="00787BF9" w:rsidRDefault="00787BF9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Pro-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CA3" w:rsidRDefault="00FB2B39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r w:rsidR="00195CA3" w:rsidRPr="003E0E5F">
          <w:rPr>
            <w:i/>
            <w:sz w:val="16"/>
            <w:szCs w:val="16"/>
          </w:rPr>
          <w:t>Um novo Tempo da História</w:t>
        </w:r>
        <w:r w:rsidR="00195CA3" w:rsidRPr="003E0E5F">
          <w:rPr>
            <w:sz w:val="16"/>
            <w:szCs w:val="16"/>
          </w:rPr>
          <w:t xml:space="preserve"> ─ Ficha </w:t>
        </w:r>
        <w:r w:rsidR="00AC0A59">
          <w:rPr>
            <w:sz w:val="16"/>
            <w:szCs w:val="16"/>
          </w:rPr>
          <w:t>9</w:t>
        </w:r>
        <w:r w:rsidR="00195CA3">
          <w:rPr>
            <w:sz w:val="16"/>
            <w:szCs w:val="16"/>
          </w:rPr>
          <w:t xml:space="preserve"> (correção), </w:t>
        </w:r>
        <w:r w:rsidR="0062314B">
          <w:rPr>
            <w:sz w:val="16"/>
            <w:szCs w:val="16"/>
          </w:rPr>
          <w:t xml:space="preserve">Casa da Aula – Centro de Explicações </w:t>
        </w:r>
        <w:proofErr w:type="gramStart"/>
        <w:r w:rsidR="0062314B">
          <w:rPr>
            <w:sz w:val="16"/>
            <w:szCs w:val="16"/>
          </w:rPr>
          <w:t>-  www.</w:t>
        </w:r>
        <w:proofErr w:type="gramEnd"/>
        <w:r w:rsidR="0062314B">
          <w:rPr>
            <w:sz w:val="16"/>
            <w:szCs w:val="16"/>
          </w:rPr>
          <w:t>casadaaula.com – 262 099 270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BF9" w:rsidRDefault="00787BF9" w:rsidP="00195CA3">
      <w:pPr>
        <w:spacing w:after="0" w:line="240" w:lineRule="auto"/>
      </w:pPr>
      <w:r>
        <w:separator/>
      </w:r>
    </w:p>
  </w:footnote>
  <w:footnote w:type="continuationSeparator" w:id="0">
    <w:p w:rsidR="00787BF9" w:rsidRDefault="00787BF9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C4CE6"/>
    <w:multiLevelType w:val="hybridMultilevel"/>
    <w:tmpl w:val="773CAA60"/>
    <w:lvl w:ilvl="0" w:tplc="BCA82EB8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638CD"/>
    <w:multiLevelType w:val="hybridMultilevel"/>
    <w:tmpl w:val="90185900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1254671F"/>
    <w:multiLevelType w:val="hybridMultilevel"/>
    <w:tmpl w:val="D13A2B04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16A43D72"/>
    <w:multiLevelType w:val="hybridMultilevel"/>
    <w:tmpl w:val="E726575C"/>
    <w:lvl w:ilvl="0" w:tplc="C6ECCBD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368CE5F0">
      <w:start w:val="4"/>
      <w:numFmt w:val="bullet"/>
      <w:lvlText w:val="•"/>
      <w:lvlJc w:val="left"/>
      <w:pPr>
        <w:ind w:left="2340" w:hanging="360"/>
      </w:pPr>
      <w:rPr>
        <w:rFonts w:ascii="Calibri" w:eastAsiaTheme="minorHAnsi" w:hAnsi="Calibri" w:cs="MyriadPro-SemiCn" w:hint="default"/>
        <w:color w:val="2C0052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484E8A"/>
    <w:multiLevelType w:val="hybridMultilevel"/>
    <w:tmpl w:val="712C341E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54180"/>
    <w:multiLevelType w:val="hybridMultilevel"/>
    <w:tmpl w:val="5B1CC854"/>
    <w:lvl w:ilvl="0" w:tplc="3D28A0B2">
      <w:start w:val="1"/>
      <w:numFmt w:val="decimal"/>
      <w:lvlText w:val="%1."/>
      <w:lvlJc w:val="left"/>
      <w:pPr>
        <w:ind w:left="720" w:hanging="360"/>
      </w:pPr>
      <w:rPr>
        <w:rFonts w:hint="default"/>
        <w:color w:val="5F497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B4D2F"/>
    <w:multiLevelType w:val="hybridMultilevel"/>
    <w:tmpl w:val="AD46F822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0C3282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 w:hint="default"/>
        <w:b/>
        <w:color w:val="7030A0"/>
      </w:r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ED6554"/>
    <w:multiLevelType w:val="hybridMultilevel"/>
    <w:tmpl w:val="2DA43410"/>
    <w:lvl w:ilvl="0" w:tplc="08160017">
      <w:start w:val="1"/>
      <w:numFmt w:val="lowerLetter"/>
      <w:lvlText w:val="%1)"/>
      <w:lvlJc w:val="left"/>
      <w:pPr>
        <w:ind w:left="1003" w:hanging="360"/>
      </w:p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379503D7"/>
    <w:multiLevelType w:val="hybridMultilevel"/>
    <w:tmpl w:val="586A51EA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EB549714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 w:hint="default"/>
        <w:b/>
        <w:color w:val="FF000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B1264"/>
    <w:multiLevelType w:val="hybridMultilevel"/>
    <w:tmpl w:val="55BEF1DE"/>
    <w:lvl w:ilvl="0" w:tplc="928EBA7A">
      <w:start w:val="5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486DCD"/>
    <w:multiLevelType w:val="hybridMultilevel"/>
    <w:tmpl w:val="A1BC4DDE"/>
    <w:lvl w:ilvl="0" w:tplc="2954EB9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DE3033"/>
    <w:multiLevelType w:val="hybridMultilevel"/>
    <w:tmpl w:val="30160A0E"/>
    <w:lvl w:ilvl="0" w:tplc="D820BB6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>
    <w:nsid w:val="635C1C31"/>
    <w:multiLevelType w:val="hybridMultilevel"/>
    <w:tmpl w:val="528AEFB8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1C2E57B0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7030A0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9504FA"/>
    <w:multiLevelType w:val="hybridMultilevel"/>
    <w:tmpl w:val="53BCC27C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10"/>
  </w:num>
  <w:num w:numId="5">
    <w:abstractNumId w:val="3"/>
  </w:num>
  <w:num w:numId="6">
    <w:abstractNumId w:val="8"/>
  </w:num>
  <w:num w:numId="7">
    <w:abstractNumId w:val="9"/>
  </w:num>
  <w:num w:numId="8">
    <w:abstractNumId w:val="2"/>
  </w:num>
  <w:num w:numId="9">
    <w:abstractNumId w:val="1"/>
  </w:num>
  <w:num w:numId="10">
    <w:abstractNumId w:val="13"/>
  </w:num>
  <w:num w:numId="11">
    <w:abstractNumId w:val="11"/>
  </w:num>
  <w:num w:numId="12">
    <w:abstractNumId w:val="5"/>
  </w:num>
  <w:num w:numId="13">
    <w:abstractNumId w:val="7"/>
  </w:num>
  <w:num w:numId="14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262EE"/>
    <w:rsid w:val="00085933"/>
    <w:rsid w:val="000B17C5"/>
    <w:rsid w:val="000B4BFE"/>
    <w:rsid w:val="000C3391"/>
    <w:rsid w:val="000C59F2"/>
    <w:rsid w:val="00114B21"/>
    <w:rsid w:val="00195CA3"/>
    <w:rsid w:val="001A63ED"/>
    <w:rsid w:val="001B625E"/>
    <w:rsid w:val="001C363E"/>
    <w:rsid w:val="00201E93"/>
    <w:rsid w:val="002E5B84"/>
    <w:rsid w:val="002E63BD"/>
    <w:rsid w:val="002F6B7F"/>
    <w:rsid w:val="003379DB"/>
    <w:rsid w:val="003676C1"/>
    <w:rsid w:val="00371089"/>
    <w:rsid w:val="00390225"/>
    <w:rsid w:val="004613B4"/>
    <w:rsid w:val="00483EE6"/>
    <w:rsid w:val="004A4F1E"/>
    <w:rsid w:val="004D3E57"/>
    <w:rsid w:val="004F0905"/>
    <w:rsid w:val="004F546F"/>
    <w:rsid w:val="00501C36"/>
    <w:rsid w:val="00506961"/>
    <w:rsid w:val="00512628"/>
    <w:rsid w:val="00540219"/>
    <w:rsid w:val="00540257"/>
    <w:rsid w:val="00551306"/>
    <w:rsid w:val="0055311D"/>
    <w:rsid w:val="00600AEE"/>
    <w:rsid w:val="0062314B"/>
    <w:rsid w:val="006627BB"/>
    <w:rsid w:val="006677B6"/>
    <w:rsid w:val="006706A8"/>
    <w:rsid w:val="00687967"/>
    <w:rsid w:val="006A7759"/>
    <w:rsid w:val="006B0344"/>
    <w:rsid w:val="006B0CE2"/>
    <w:rsid w:val="006C74D8"/>
    <w:rsid w:val="00754E3E"/>
    <w:rsid w:val="00787BF9"/>
    <w:rsid w:val="00792A3E"/>
    <w:rsid w:val="007A3C4A"/>
    <w:rsid w:val="008115E3"/>
    <w:rsid w:val="00814F56"/>
    <w:rsid w:val="00820E01"/>
    <w:rsid w:val="008C1ADA"/>
    <w:rsid w:val="008F32B5"/>
    <w:rsid w:val="00900BE7"/>
    <w:rsid w:val="00921F15"/>
    <w:rsid w:val="00947B78"/>
    <w:rsid w:val="0096450C"/>
    <w:rsid w:val="00972283"/>
    <w:rsid w:val="009A7BA3"/>
    <w:rsid w:val="009D6741"/>
    <w:rsid w:val="009F7284"/>
    <w:rsid w:val="00A643D4"/>
    <w:rsid w:val="00AC0A59"/>
    <w:rsid w:val="00AD3103"/>
    <w:rsid w:val="00AD5FB3"/>
    <w:rsid w:val="00AF6FF7"/>
    <w:rsid w:val="00B6157D"/>
    <w:rsid w:val="00B6221A"/>
    <w:rsid w:val="00B823F5"/>
    <w:rsid w:val="00B83D02"/>
    <w:rsid w:val="00BB2578"/>
    <w:rsid w:val="00BD0432"/>
    <w:rsid w:val="00BD41E6"/>
    <w:rsid w:val="00BF0734"/>
    <w:rsid w:val="00C27057"/>
    <w:rsid w:val="00C41C21"/>
    <w:rsid w:val="00C449FF"/>
    <w:rsid w:val="00C83CF5"/>
    <w:rsid w:val="00C93539"/>
    <w:rsid w:val="00CE56D6"/>
    <w:rsid w:val="00D21824"/>
    <w:rsid w:val="00DA1440"/>
    <w:rsid w:val="00DC4734"/>
    <w:rsid w:val="00DE607D"/>
    <w:rsid w:val="00E43E2C"/>
    <w:rsid w:val="00EA114F"/>
    <w:rsid w:val="00FB2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  <w:style w:type="paragraph" w:styleId="Textodebalo">
    <w:name w:val="Balloon Text"/>
    <w:basedOn w:val="Normal"/>
    <w:link w:val="TextodebaloCarcter"/>
    <w:uiPriority w:val="99"/>
    <w:semiHidden/>
    <w:unhideWhenUsed/>
    <w:rsid w:val="00367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676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1EFFB-0E75-4CFC-96DE-CC5C19076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860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7</cp:revision>
  <dcterms:created xsi:type="dcterms:W3CDTF">2014-06-15T23:29:00Z</dcterms:created>
  <dcterms:modified xsi:type="dcterms:W3CDTF">2017-01-25T14:14:00Z</dcterms:modified>
</cp:coreProperties>
</file>