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5876ED" w:rsidRPr="00373C3D" w:rsidRDefault="006100D7" w:rsidP="002423D9">
      <w:pPr>
        <w:spacing w:after="0" w:line="240" w:lineRule="auto"/>
        <w:jc w:val="center"/>
        <w:rPr>
          <w:b/>
          <w:color w:val="44546A" w:themeColor="text2"/>
          <w:sz w:val="32"/>
          <w:szCs w:val="32"/>
        </w:rPr>
      </w:pPr>
      <w:r>
        <w:rPr>
          <w:b/>
          <w:color w:val="44546A" w:themeColor="text2"/>
          <w:sz w:val="32"/>
          <w:szCs w:val="32"/>
        </w:rPr>
        <w:t xml:space="preserve">FICHA </w:t>
      </w:r>
      <w:r w:rsidR="009A7FB5">
        <w:rPr>
          <w:b/>
          <w:color w:val="44546A" w:themeColor="text2"/>
          <w:sz w:val="32"/>
          <w:szCs w:val="32"/>
        </w:rPr>
        <w:t xml:space="preserve">8 </w:t>
      </w:r>
    </w:p>
    <w:p w:rsidR="005876ED" w:rsidRPr="006545FD" w:rsidRDefault="005876ED" w:rsidP="002423D9">
      <w:pPr>
        <w:spacing w:after="0" w:line="240" w:lineRule="auto"/>
        <w:jc w:val="center"/>
        <w:rPr>
          <w:b/>
          <w:sz w:val="24"/>
          <w:szCs w:val="24"/>
        </w:rPr>
      </w:pPr>
      <w:r w:rsidRPr="006545FD">
        <w:rPr>
          <w:b/>
          <w:sz w:val="24"/>
          <w:szCs w:val="24"/>
        </w:rPr>
        <w:t>(CORREÇÃO)</w:t>
      </w:r>
    </w:p>
    <w:p w:rsidR="005876ED" w:rsidRDefault="005876ED" w:rsidP="002423D9">
      <w:pPr>
        <w:spacing w:after="0" w:line="240" w:lineRule="auto"/>
        <w:rPr>
          <w:b/>
          <w:sz w:val="20"/>
          <w:szCs w:val="20"/>
        </w:rPr>
      </w:pPr>
    </w:p>
    <w:p w:rsidR="006545FD" w:rsidRDefault="006545FD" w:rsidP="006545FD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6545FD" w:rsidRDefault="006545FD" w:rsidP="006545FD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4</w:t>
      </w:r>
    </w:p>
    <w:p w:rsidR="006545FD" w:rsidRDefault="00463A4F" w:rsidP="006545F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 Europa dos s</w:t>
      </w:r>
      <w:r w:rsidR="006545FD" w:rsidRPr="006545FD">
        <w:rPr>
          <w:b/>
          <w:sz w:val="24"/>
          <w:szCs w:val="24"/>
        </w:rPr>
        <w:t>éculos XVII e XVIII</w:t>
      </w:r>
      <w:r>
        <w:rPr>
          <w:b/>
          <w:sz w:val="24"/>
          <w:szCs w:val="24"/>
        </w:rPr>
        <w:t xml:space="preserve"> – sociedade, poder e dinâmicas coloniais</w:t>
      </w:r>
    </w:p>
    <w:p w:rsidR="00463A4F" w:rsidRPr="006545FD" w:rsidRDefault="00463A4F" w:rsidP="006545FD">
      <w:pPr>
        <w:spacing w:after="0"/>
        <w:rPr>
          <w:b/>
          <w:color w:val="7030A0"/>
          <w:sz w:val="24"/>
          <w:szCs w:val="24"/>
        </w:rPr>
      </w:pPr>
    </w:p>
    <w:p w:rsidR="009A7FB5" w:rsidRPr="00DB455B" w:rsidRDefault="009A7FB5" w:rsidP="00DB455B">
      <w:pPr>
        <w:spacing w:after="0" w:line="240" w:lineRule="auto"/>
        <w:jc w:val="center"/>
        <w:rPr>
          <w:sz w:val="26"/>
          <w:szCs w:val="26"/>
        </w:rPr>
      </w:pPr>
      <w:r w:rsidRPr="00DB455B">
        <w:rPr>
          <w:b/>
          <w:sz w:val="26"/>
          <w:szCs w:val="26"/>
        </w:rPr>
        <w:t>Grupo I</w:t>
      </w:r>
    </w:p>
    <w:p w:rsidR="00DB455B" w:rsidRDefault="00DB455B" w:rsidP="00DB455B">
      <w:pPr>
        <w:pStyle w:val="ListParagraph"/>
        <w:spacing w:after="0" w:line="240" w:lineRule="auto"/>
        <w:rPr>
          <w:b/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Identificar o fenómeno demográfico patente no Doc.</w:t>
      </w:r>
      <w:r w:rsidR="00463A4F">
        <w:rPr>
          <w:b/>
          <w:sz w:val="20"/>
          <w:szCs w:val="20"/>
        </w:rPr>
        <w:t xml:space="preserve"> </w:t>
      </w:r>
      <w:r w:rsidRPr="00DB455B">
        <w:rPr>
          <w:b/>
          <w:sz w:val="20"/>
          <w:szCs w:val="20"/>
        </w:rPr>
        <w:t>1.</w:t>
      </w:r>
    </w:p>
    <w:p w:rsidR="009A7FB5" w:rsidRPr="00DB455B" w:rsidRDefault="009A7FB5" w:rsidP="006545FD">
      <w:pPr>
        <w:pStyle w:val="ListParagraph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Estão patentes as crises demográficas típicas do Antigo Regime.</w:t>
      </w:r>
    </w:p>
    <w:p w:rsidR="009A7FB5" w:rsidRPr="00DB455B" w:rsidRDefault="009A7FB5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Indicar, com base no Doc.</w:t>
      </w:r>
      <w:r w:rsidR="00463A4F">
        <w:rPr>
          <w:b/>
          <w:sz w:val="20"/>
          <w:szCs w:val="20"/>
        </w:rPr>
        <w:t xml:space="preserve"> </w:t>
      </w:r>
      <w:r w:rsidRPr="00DB455B">
        <w:rPr>
          <w:b/>
          <w:sz w:val="20"/>
          <w:szCs w:val="20"/>
        </w:rPr>
        <w:t>2, uma causa possível de um fenómeno deste género.</w:t>
      </w:r>
    </w:p>
    <w:p w:rsidR="009A7FB5" w:rsidRPr="00DB455B" w:rsidRDefault="009A7FB5" w:rsidP="006545FD">
      <w:pPr>
        <w:pStyle w:val="ListParagraph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 xml:space="preserve">O documento remete para a larga base agrícola da economia pré-industrial e para as técnicas rudimentares que caracterizavam este tipo de economia. </w:t>
      </w:r>
    </w:p>
    <w:p w:rsidR="009A7FB5" w:rsidRPr="00DB455B" w:rsidRDefault="009A7FB5" w:rsidP="006545FD">
      <w:pPr>
        <w:pStyle w:val="ListParagraph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 xml:space="preserve">Desta debilidade tecnológica resultava uma baixa produtividade agrícola, que deixava o camponês à mercê das condições naturais, sendo frequentes os anos de escassez alimentar. </w:t>
      </w:r>
    </w:p>
    <w:p w:rsidR="009A7FB5" w:rsidRPr="00DB455B" w:rsidRDefault="009A7FB5" w:rsidP="006545FD">
      <w:pPr>
        <w:pStyle w:val="ListParagraph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A fome era, pois, uma causa comum das crises demográficas de tipo antigo (Doc.1).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E67898">
      <w:pPr>
        <w:pStyle w:val="ListParagraph"/>
        <w:numPr>
          <w:ilvl w:val="0"/>
          <w:numId w:val="1"/>
        </w:numPr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De acordo com o Doc.</w:t>
      </w:r>
      <w:r w:rsidR="00463A4F">
        <w:rPr>
          <w:b/>
          <w:sz w:val="20"/>
          <w:szCs w:val="20"/>
        </w:rPr>
        <w:t xml:space="preserve"> </w:t>
      </w:r>
      <w:r w:rsidRPr="00DB455B">
        <w:rPr>
          <w:b/>
          <w:sz w:val="20"/>
          <w:szCs w:val="20"/>
        </w:rPr>
        <w:t>3:</w:t>
      </w:r>
    </w:p>
    <w:p w:rsidR="009A7FB5" w:rsidRPr="00DB455B" w:rsidRDefault="006545FD" w:rsidP="00E67898">
      <w:pPr>
        <w:pStyle w:val="ListParagraph"/>
        <w:numPr>
          <w:ilvl w:val="0"/>
          <w:numId w:val="2"/>
        </w:numPr>
        <w:spacing w:after="0" w:line="240" w:lineRule="auto"/>
        <w:ind w:left="567"/>
        <w:rPr>
          <w:sz w:val="20"/>
          <w:szCs w:val="20"/>
        </w:rPr>
      </w:pPr>
      <w:proofErr w:type="gramStart"/>
      <w:r>
        <w:rPr>
          <w:sz w:val="20"/>
          <w:szCs w:val="20"/>
        </w:rPr>
        <w:t>o</w:t>
      </w:r>
      <w:r w:rsidR="009A7FB5" w:rsidRPr="00DB455B">
        <w:rPr>
          <w:sz w:val="20"/>
          <w:szCs w:val="20"/>
        </w:rPr>
        <w:t>s</w:t>
      </w:r>
      <w:proofErr w:type="gramEnd"/>
      <w:r w:rsidR="009A7FB5" w:rsidRPr="00DB455B">
        <w:rPr>
          <w:sz w:val="20"/>
          <w:szCs w:val="20"/>
        </w:rPr>
        <w:t xml:space="preserve"> trabalhadores braçais e a generalidade do povo miúdo mal têm com que se sustentar pelo que não podem pagar mais impostos.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E67898">
      <w:pPr>
        <w:pStyle w:val="ListParagraph"/>
        <w:numPr>
          <w:ilvl w:val="0"/>
          <w:numId w:val="1"/>
        </w:numPr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Explicar a caricatura reproduzida no Doc. 4.</w:t>
      </w:r>
    </w:p>
    <w:p w:rsidR="009A7FB5" w:rsidRPr="00DB455B" w:rsidRDefault="009A7FB5" w:rsidP="006545FD">
      <w:pPr>
        <w:pStyle w:val="ListParagraph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A caricatura reporta-se à situação do camponês n</w:t>
      </w:r>
      <w:r w:rsidR="006545FD">
        <w:rPr>
          <w:sz w:val="20"/>
          <w:szCs w:val="20"/>
        </w:rPr>
        <w:t>o âmbito da sociedade de ordens; m</w:t>
      </w:r>
      <w:r w:rsidRPr="00DB455B">
        <w:rPr>
          <w:sz w:val="20"/>
          <w:szCs w:val="20"/>
        </w:rPr>
        <w:t>ostra-o esmagado pelo peso dos imposto</w:t>
      </w:r>
      <w:r w:rsidR="006545FD">
        <w:rPr>
          <w:sz w:val="20"/>
          <w:szCs w:val="20"/>
        </w:rPr>
        <w:t xml:space="preserve">s e outras prestações, bem como pelas duas ordens </w:t>
      </w:r>
      <w:r w:rsidRPr="00DB455B">
        <w:rPr>
          <w:sz w:val="20"/>
          <w:szCs w:val="20"/>
        </w:rPr>
        <w:t xml:space="preserve">privilegiadas, clero e nobreza. </w:t>
      </w:r>
    </w:p>
    <w:p w:rsidR="009A7FB5" w:rsidRPr="00DB455B" w:rsidRDefault="009A7FB5" w:rsidP="006545FD">
      <w:pPr>
        <w:pStyle w:val="ListParagraph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Os elementos do clero e a nobreza, embora reduzidos em número, eram detentores da maioria das terras, das quais recebiam rendas e outros benefícios, como as corveias, mencionadas na caricatura. Estas ordens estavam isentas do pagamento de impostos que, salvo raras exceções, pesava,</w:t>
      </w:r>
      <w:r w:rsidR="006545FD">
        <w:rPr>
          <w:sz w:val="20"/>
          <w:szCs w:val="20"/>
        </w:rPr>
        <w:t xml:space="preserve"> </w:t>
      </w:r>
      <w:r w:rsidRPr="00DB455B">
        <w:rPr>
          <w:sz w:val="20"/>
          <w:szCs w:val="20"/>
        </w:rPr>
        <w:t>em excl</w:t>
      </w:r>
      <w:r w:rsidR="006545FD">
        <w:rPr>
          <w:sz w:val="20"/>
          <w:szCs w:val="20"/>
        </w:rPr>
        <w:t xml:space="preserve">usivo, sobre o Terceiro Estado, </w:t>
      </w:r>
      <w:r w:rsidRPr="00DB455B">
        <w:rPr>
          <w:sz w:val="20"/>
          <w:szCs w:val="20"/>
        </w:rPr>
        <w:t xml:space="preserve">particularmente sobre os </w:t>
      </w:r>
      <w:r w:rsidR="006545FD" w:rsidRPr="00DB455B">
        <w:rPr>
          <w:sz w:val="20"/>
          <w:szCs w:val="20"/>
        </w:rPr>
        <w:t>camponeses</w:t>
      </w:r>
      <w:r w:rsidRPr="00DB455B">
        <w:rPr>
          <w:sz w:val="20"/>
          <w:szCs w:val="20"/>
        </w:rPr>
        <w:t>, que constituíam a esmagadora maioria da população. Deste modo, o camponês aparece como sustentáculo das ordens privilegiadas e sobrecarregado de obrigações.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DB455B">
      <w:pPr>
        <w:spacing w:after="0" w:line="240" w:lineRule="auto"/>
        <w:jc w:val="center"/>
        <w:rPr>
          <w:b/>
          <w:sz w:val="20"/>
          <w:szCs w:val="20"/>
        </w:rPr>
      </w:pPr>
    </w:p>
    <w:p w:rsidR="009A7FB5" w:rsidRPr="00DB455B" w:rsidRDefault="009A7FB5" w:rsidP="00DB455B">
      <w:pPr>
        <w:spacing w:after="0" w:line="240" w:lineRule="auto"/>
        <w:jc w:val="center"/>
        <w:rPr>
          <w:b/>
          <w:sz w:val="26"/>
          <w:szCs w:val="26"/>
        </w:rPr>
      </w:pPr>
      <w:r w:rsidRPr="00DB455B">
        <w:rPr>
          <w:b/>
          <w:sz w:val="26"/>
          <w:szCs w:val="26"/>
        </w:rPr>
        <w:t xml:space="preserve">Grupo II </w:t>
      </w:r>
    </w:p>
    <w:p w:rsidR="009A7FB5" w:rsidRPr="00DB455B" w:rsidRDefault="009A7FB5" w:rsidP="00DB455B">
      <w:pPr>
        <w:spacing w:after="0" w:line="240" w:lineRule="auto"/>
        <w:jc w:val="center"/>
        <w:rPr>
          <w:b/>
          <w:sz w:val="20"/>
          <w:szCs w:val="20"/>
        </w:rPr>
      </w:pPr>
    </w:p>
    <w:p w:rsidR="009A7FB5" w:rsidRPr="00DB455B" w:rsidRDefault="009A7FB5" w:rsidP="00E67898">
      <w:pPr>
        <w:numPr>
          <w:ilvl w:val="0"/>
          <w:numId w:val="4"/>
        </w:numPr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Na Europa dos séculos XVII e XVIII:</w:t>
      </w:r>
    </w:p>
    <w:p w:rsidR="009A7FB5" w:rsidRPr="00DB455B" w:rsidRDefault="009A7FB5" w:rsidP="00E67898">
      <w:pPr>
        <w:pStyle w:val="ListParagraph"/>
        <w:numPr>
          <w:ilvl w:val="0"/>
          <w:numId w:val="8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prevaleceram</w:t>
      </w:r>
      <w:proofErr w:type="gramEnd"/>
      <w:r w:rsidRPr="00DB455B">
        <w:rPr>
          <w:sz w:val="20"/>
          <w:szCs w:val="20"/>
        </w:rPr>
        <w:t xml:space="preserve"> os estados de tipo absolutista.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Fundamentar, com base no Doc.</w:t>
      </w:r>
      <w:r w:rsidR="00463A4F">
        <w:rPr>
          <w:b/>
          <w:sz w:val="20"/>
          <w:szCs w:val="20"/>
        </w:rPr>
        <w:t xml:space="preserve"> </w:t>
      </w:r>
      <w:r w:rsidRPr="00DB455B">
        <w:rPr>
          <w:b/>
          <w:sz w:val="20"/>
          <w:szCs w:val="20"/>
        </w:rPr>
        <w:t>2, a afirmação de Voltaire (Doc.3): “Foi num mar de sangue que os Ingleses afogaram o ídolo do poder despótico”.</w:t>
      </w:r>
    </w:p>
    <w:p w:rsidR="009A7FB5" w:rsidRPr="00DB455B" w:rsidRDefault="009A7FB5" w:rsidP="006545FD">
      <w:pPr>
        <w:pStyle w:val="ListParagraph"/>
        <w:numPr>
          <w:ilvl w:val="0"/>
          <w:numId w:val="7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A luta dos Ingleses contra o absolutismo (“poder despótico”) foi particularmente sangrenta, tendo dado origem a uma guerra civil (1642-1649), no termo da qual foi executado o rei Carlos I.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E67898">
      <w:pPr>
        <w:pStyle w:val="ListParagraph"/>
        <w:numPr>
          <w:ilvl w:val="0"/>
          <w:numId w:val="4"/>
        </w:numPr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Desenvolver o tema:</w:t>
      </w:r>
    </w:p>
    <w:p w:rsidR="009A7FB5" w:rsidRDefault="009A7FB5" w:rsidP="00DB455B">
      <w:pPr>
        <w:pStyle w:val="ListParagraph"/>
        <w:spacing w:after="0" w:line="240" w:lineRule="auto"/>
        <w:ind w:left="283"/>
        <w:rPr>
          <w:b/>
          <w:i/>
          <w:sz w:val="20"/>
          <w:szCs w:val="20"/>
        </w:rPr>
      </w:pPr>
      <w:r w:rsidRPr="00DB455B">
        <w:rPr>
          <w:b/>
          <w:i/>
          <w:sz w:val="20"/>
          <w:szCs w:val="20"/>
        </w:rPr>
        <w:t>A contestação das monarquias absolutas na Europa dos séculos XVII e XVIII</w:t>
      </w:r>
    </w:p>
    <w:p w:rsidR="006545FD" w:rsidRPr="00DB455B" w:rsidRDefault="006545FD" w:rsidP="006545FD">
      <w:pPr>
        <w:pStyle w:val="ListParagraph"/>
        <w:spacing w:after="0" w:line="240" w:lineRule="auto"/>
        <w:ind w:left="283"/>
        <w:jc w:val="both"/>
        <w:rPr>
          <w:b/>
          <w:i/>
          <w:sz w:val="20"/>
          <w:szCs w:val="20"/>
        </w:rPr>
      </w:pPr>
    </w:p>
    <w:p w:rsidR="009A7FB5" w:rsidRDefault="009A7FB5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  <w:r w:rsidRPr="00DB455B">
        <w:rPr>
          <w:b/>
          <w:sz w:val="20"/>
          <w:szCs w:val="20"/>
        </w:rPr>
        <w:t>Introdução</w:t>
      </w:r>
      <w:r w:rsidR="006545FD">
        <w:rPr>
          <w:sz w:val="20"/>
          <w:szCs w:val="20"/>
        </w:rPr>
        <w:t>: R</w:t>
      </w:r>
      <w:r w:rsidRPr="00DB455B">
        <w:rPr>
          <w:sz w:val="20"/>
          <w:szCs w:val="20"/>
        </w:rPr>
        <w:t xml:space="preserve">eferência à afirmação dos regimes absolutos nos séculos do Antigo Regime e à rejeição deste modelo político na Inglaterra (Doc.2) e nas Províncias Unidas. O </w:t>
      </w:r>
      <w:r w:rsidR="006545FD" w:rsidRPr="00DB455B">
        <w:rPr>
          <w:sz w:val="20"/>
          <w:szCs w:val="20"/>
        </w:rPr>
        <w:t>parlamentarismo</w:t>
      </w:r>
      <w:r w:rsidRPr="00DB455B">
        <w:rPr>
          <w:sz w:val="20"/>
          <w:szCs w:val="20"/>
        </w:rPr>
        <w:t xml:space="preserve"> inglês constituiu uma inspiração para o ideário das Luzes (Doc. 3) que rejeitou, com veemência, o absolutismo régio.</w:t>
      </w:r>
    </w:p>
    <w:p w:rsidR="006545FD" w:rsidRDefault="006545FD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6545FD" w:rsidRDefault="006545FD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6545FD" w:rsidRPr="00DB455B" w:rsidRDefault="006545FD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Princípios gerais do absolutismo</w:t>
      </w:r>
    </w:p>
    <w:p w:rsidR="009A7FB5" w:rsidRDefault="006545FD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  <w:r>
        <w:rPr>
          <w:sz w:val="20"/>
          <w:szCs w:val="20"/>
        </w:rPr>
        <w:t>(Escolher</w:t>
      </w:r>
      <w:r w:rsidR="009A7FB5" w:rsidRPr="00DB455B">
        <w:rPr>
          <w:sz w:val="20"/>
          <w:szCs w:val="20"/>
        </w:rPr>
        <w:t xml:space="preserve"> três)</w:t>
      </w:r>
    </w:p>
    <w:p w:rsidR="006545FD" w:rsidRPr="00DB455B" w:rsidRDefault="006545FD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6545FD" w:rsidP="006545FD">
      <w:pPr>
        <w:pStyle w:val="ListParagraph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Poder</w:t>
      </w:r>
      <w:r w:rsidR="009A7FB5" w:rsidRPr="00DB455B">
        <w:rPr>
          <w:sz w:val="20"/>
          <w:szCs w:val="20"/>
        </w:rPr>
        <w:t xml:space="preserve"> </w:t>
      </w:r>
      <w:r w:rsidRPr="00DB455B">
        <w:rPr>
          <w:sz w:val="20"/>
          <w:szCs w:val="20"/>
        </w:rPr>
        <w:t>real conferido</w:t>
      </w:r>
      <w:r w:rsidR="009A7FB5" w:rsidRPr="00DB455B">
        <w:rPr>
          <w:sz w:val="20"/>
          <w:szCs w:val="20"/>
        </w:rPr>
        <w:t xml:space="preserve"> por Deus, por isso sagrado e incontestável OU os reis prestam</w:t>
      </w:r>
      <w:r>
        <w:rPr>
          <w:sz w:val="20"/>
          <w:szCs w:val="20"/>
        </w:rPr>
        <w:t xml:space="preserve"> contas apenas a Deus, de quem </w:t>
      </w:r>
      <w:r w:rsidR="009A7FB5" w:rsidRPr="00DB455B">
        <w:rPr>
          <w:sz w:val="20"/>
          <w:szCs w:val="20"/>
        </w:rPr>
        <w:t>pr</w:t>
      </w:r>
      <w:r>
        <w:rPr>
          <w:sz w:val="20"/>
          <w:szCs w:val="20"/>
        </w:rPr>
        <w:t xml:space="preserve">ovem o poder que detêm </w:t>
      </w:r>
      <w:proofErr w:type="gramStart"/>
      <w:r>
        <w:rPr>
          <w:sz w:val="20"/>
          <w:szCs w:val="20"/>
        </w:rPr>
        <w:t>( Doc.</w:t>
      </w:r>
      <w:proofErr w:type="gramEnd"/>
      <w:r>
        <w:rPr>
          <w:sz w:val="20"/>
          <w:szCs w:val="20"/>
        </w:rPr>
        <w:t>1).</w:t>
      </w:r>
    </w:p>
    <w:p w:rsidR="009A7FB5" w:rsidRPr="00DB455B" w:rsidRDefault="006545FD" w:rsidP="006545FD">
      <w:pPr>
        <w:pStyle w:val="ListParagraph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Concentração</w:t>
      </w:r>
      <w:r w:rsidR="009A7FB5" w:rsidRPr="00DB455B">
        <w:rPr>
          <w:sz w:val="20"/>
          <w:szCs w:val="20"/>
        </w:rPr>
        <w:t xml:space="preserve"> na pessoa do rei da totalidade dos poderes do Estado (legislativo, executivo e judicial), dele dependend</w:t>
      </w:r>
      <w:r>
        <w:rPr>
          <w:sz w:val="20"/>
          <w:szCs w:val="20"/>
        </w:rPr>
        <w:t>o toda a ação política (Doc.1).</w:t>
      </w:r>
    </w:p>
    <w:p w:rsidR="009A7FB5" w:rsidRPr="00DB455B" w:rsidRDefault="006545FD" w:rsidP="006545FD">
      <w:pPr>
        <w:pStyle w:val="ListParagraph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Poder</w:t>
      </w:r>
      <w:r w:rsidR="009A7FB5" w:rsidRPr="00DB455B">
        <w:rPr>
          <w:sz w:val="20"/>
          <w:szCs w:val="20"/>
        </w:rPr>
        <w:t xml:space="preserve"> de cará</w:t>
      </w:r>
      <w:r>
        <w:rPr>
          <w:sz w:val="20"/>
          <w:szCs w:val="20"/>
        </w:rPr>
        <w:t>c</w:t>
      </w:r>
      <w:r w:rsidR="009A7FB5" w:rsidRPr="00DB455B">
        <w:rPr>
          <w:sz w:val="20"/>
          <w:szCs w:val="20"/>
        </w:rPr>
        <w:t>ter paternal, por isso conforme com a Natureza. O rei é o “pai da pátria”, o “pai</w:t>
      </w:r>
      <w:r>
        <w:rPr>
          <w:sz w:val="20"/>
          <w:szCs w:val="20"/>
        </w:rPr>
        <w:t xml:space="preserve"> político do seu povo” (Doc. 1).</w:t>
      </w:r>
    </w:p>
    <w:p w:rsidR="009A7FB5" w:rsidRPr="00DB455B" w:rsidRDefault="006545FD" w:rsidP="006545FD">
      <w:pPr>
        <w:pStyle w:val="ListParagraph"/>
        <w:numPr>
          <w:ilvl w:val="0"/>
          <w:numId w:val="6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9A7FB5" w:rsidRPr="00DB455B">
        <w:rPr>
          <w:sz w:val="20"/>
          <w:szCs w:val="20"/>
        </w:rPr>
        <w:t>tribuição ao rei de certas qualidades intrínsecas, conferidas por Deus e desti</w:t>
      </w:r>
      <w:r>
        <w:rPr>
          <w:sz w:val="20"/>
          <w:szCs w:val="20"/>
        </w:rPr>
        <w:t>nadas a assegurar o bom governo.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Limitações ao poder real em Inglaterra</w:t>
      </w:r>
    </w:p>
    <w:p w:rsidR="009A7FB5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  <w:r w:rsidRPr="00DB455B">
        <w:rPr>
          <w:sz w:val="20"/>
          <w:szCs w:val="20"/>
        </w:rPr>
        <w:t>(Indicar três)</w:t>
      </w:r>
    </w:p>
    <w:p w:rsidR="006545FD" w:rsidRPr="00DB455B" w:rsidRDefault="006545FD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  <w:r w:rsidRPr="00DB455B">
        <w:rPr>
          <w:sz w:val="20"/>
          <w:szCs w:val="20"/>
        </w:rPr>
        <w:t xml:space="preserve">De acordo com o estipulado na </w:t>
      </w:r>
      <w:r w:rsidRPr="00DB455B">
        <w:rPr>
          <w:i/>
          <w:sz w:val="20"/>
          <w:szCs w:val="20"/>
        </w:rPr>
        <w:t>Declaração dos Direitos</w:t>
      </w:r>
      <w:r w:rsidRPr="00DB455B">
        <w:rPr>
          <w:sz w:val="20"/>
          <w:szCs w:val="20"/>
        </w:rPr>
        <w:t xml:space="preserve"> e outros documentos fundamentais, os monarcas ingleses partilham o poder com o Parlamento (Doc.1), pelo que:</w:t>
      </w:r>
    </w:p>
    <w:p w:rsidR="009A7FB5" w:rsidRPr="00DB455B" w:rsidRDefault="009A7FB5" w:rsidP="00E67898">
      <w:pPr>
        <w:pStyle w:val="ListParagraph"/>
        <w:numPr>
          <w:ilvl w:val="0"/>
          <w:numId w:val="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não</w:t>
      </w:r>
      <w:proofErr w:type="gramEnd"/>
      <w:r w:rsidRPr="00DB455B">
        <w:rPr>
          <w:sz w:val="20"/>
          <w:szCs w:val="20"/>
        </w:rPr>
        <w:t xml:space="preserve"> detêm o poder legislativo, estando impedidos de alterar as leis;</w:t>
      </w:r>
    </w:p>
    <w:p w:rsidR="009A7FB5" w:rsidRPr="00DB455B" w:rsidRDefault="009A7FB5" w:rsidP="00E67898">
      <w:pPr>
        <w:pStyle w:val="ListParagraph"/>
        <w:numPr>
          <w:ilvl w:val="0"/>
          <w:numId w:val="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não</w:t>
      </w:r>
      <w:proofErr w:type="gramEnd"/>
      <w:r w:rsidRPr="00DB455B">
        <w:rPr>
          <w:sz w:val="20"/>
          <w:szCs w:val="20"/>
        </w:rPr>
        <w:t xml:space="preserve"> pode</w:t>
      </w:r>
      <w:r w:rsidR="006545FD">
        <w:rPr>
          <w:sz w:val="20"/>
          <w:szCs w:val="20"/>
        </w:rPr>
        <w:t>m proceder a prisões arbitrárias</w:t>
      </w:r>
      <w:r w:rsidRPr="00DB455B">
        <w:rPr>
          <w:sz w:val="20"/>
          <w:szCs w:val="20"/>
        </w:rPr>
        <w:t xml:space="preserve"> ;</w:t>
      </w:r>
    </w:p>
    <w:p w:rsidR="009A7FB5" w:rsidRPr="00DB455B" w:rsidRDefault="009A7FB5" w:rsidP="00E67898">
      <w:pPr>
        <w:pStyle w:val="ListParagraph"/>
        <w:numPr>
          <w:ilvl w:val="0"/>
          <w:numId w:val="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não</w:t>
      </w:r>
      <w:proofErr w:type="gramEnd"/>
      <w:r w:rsidRPr="00DB455B">
        <w:rPr>
          <w:sz w:val="20"/>
          <w:szCs w:val="20"/>
        </w:rPr>
        <w:t xml:space="preserve"> podem levantar impostos sem o consentimento do Parlamento;</w:t>
      </w:r>
    </w:p>
    <w:p w:rsidR="009A7FB5" w:rsidRPr="00DB455B" w:rsidRDefault="009A7FB5" w:rsidP="00E67898">
      <w:pPr>
        <w:pStyle w:val="ListParagraph"/>
        <w:numPr>
          <w:ilvl w:val="0"/>
          <w:numId w:val="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não</w:t>
      </w:r>
      <w:proofErr w:type="gramEnd"/>
      <w:r w:rsidRPr="00DB455B">
        <w:rPr>
          <w:sz w:val="20"/>
          <w:szCs w:val="20"/>
        </w:rPr>
        <w:t xml:space="preserve"> podem recrutar um  exército em tempo de paz sem o consentimento do Parlamento;</w:t>
      </w:r>
    </w:p>
    <w:p w:rsidR="009A7FB5" w:rsidRPr="00DB455B" w:rsidRDefault="009A7FB5" w:rsidP="00E67898">
      <w:pPr>
        <w:pStyle w:val="ListParagraph"/>
        <w:numPr>
          <w:ilvl w:val="0"/>
          <w:numId w:val="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não</w:t>
      </w:r>
      <w:proofErr w:type="gramEnd"/>
      <w:r w:rsidRPr="00DB455B">
        <w:rPr>
          <w:sz w:val="20"/>
          <w:szCs w:val="20"/>
        </w:rPr>
        <w:t xml:space="preserve"> podem cercear o livre direito de palavra e de reunião;</w:t>
      </w:r>
    </w:p>
    <w:p w:rsidR="009A7FB5" w:rsidRPr="00DB455B" w:rsidRDefault="009A7FB5" w:rsidP="00E67898">
      <w:pPr>
        <w:pStyle w:val="ListParagraph"/>
        <w:numPr>
          <w:ilvl w:val="0"/>
          <w:numId w:val="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não</w:t>
      </w:r>
      <w:proofErr w:type="gramEnd"/>
      <w:r w:rsidRPr="00DB455B">
        <w:rPr>
          <w:sz w:val="20"/>
          <w:szCs w:val="20"/>
        </w:rPr>
        <w:t xml:space="preserve"> podem interferir nas decisões do Parlamento.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Ideias políticas do Iluminismo</w:t>
      </w:r>
    </w:p>
    <w:p w:rsidR="009A7FB5" w:rsidRDefault="009A7FB5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(Indicar três)</w:t>
      </w:r>
    </w:p>
    <w:p w:rsidR="006545FD" w:rsidRPr="00DB455B" w:rsidRDefault="006545FD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Contrapondo ao absolutismo os direitos individuais, os Iluministas:</w:t>
      </w:r>
    </w:p>
    <w:p w:rsidR="009A7FB5" w:rsidRPr="00DB455B" w:rsidRDefault="009A7FB5" w:rsidP="006545FD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consideram</w:t>
      </w:r>
      <w:proofErr w:type="gramEnd"/>
      <w:r w:rsidRPr="00DB455B">
        <w:rPr>
          <w:sz w:val="20"/>
          <w:szCs w:val="20"/>
        </w:rPr>
        <w:t xml:space="preserve"> que</w:t>
      </w:r>
      <w:r w:rsidR="006545FD">
        <w:rPr>
          <w:sz w:val="20"/>
          <w:szCs w:val="20"/>
        </w:rPr>
        <w:t xml:space="preserve"> </w:t>
      </w:r>
      <w:r w:rsidRPr="00DB455B">
        <w:rPr>
          <w:sz w:val="20"/>
          <w:szCs w:val="20"/>
        </w:rPr>
        <w:t>a Natureza dotou todos os homens  de um conjunto inalienável de direitos que nenhum regime político tem legitimidade para desrespeitar;</w:t>
      </w:r>
    </w:p>
    <w:p w:rsidR="009A7FB5" w:rsidRPr="00DB455B" w:rsidRDefault="009A7FB5" w:rsidP="006545FD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afirmam</w:t>
      </w:r>
      <w:proofErr w:type="gramEnd"/>
      <w:r w:rsidRPr="00DB455B">
        <w:rPr>
          <w:sz w:val="20"/>
          <w:szCs w:val="20"/>
        </w:rPr>
        <w:t xml:space="preserve"> que todos os homens nascem livres e iguais;</w:t>
      </w:r>
    </w:p>
    <w:p w:rsidR="009A7FB5" w:rsidRPr="00DB455B" w:rsidRDefault="009A7FB5" w:rsidP="006545FD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defendem</w:t>
      </w:r>
      <w:proofErr w:type="gramEnd"/>
      <w:r w:rsidRPr="00DB455B">
        <w:rPr>
          <w:sz w:val="20"/>
          <w:szCs w:val="20"/>
        </w:rPr>
        <w:t xml:space="preserve"> que o poder político provém do povo ( soberania popular) que o confere aos governantes através de</w:t>
      </w:r>
      <w:r w:rsidR="006545FD">
        <w:rPr>
          <w:sz w:val="20"/>
          <w:szCs w:val="20"/>
        </w:rPr>
        <w:t xml:space="preserve"> </w:t>
      </w:r>
      <w:r w:rsidRPr="00DB455B">
        <w:rPr>
          <w:sz w:val="20"/>
          <w:szCs w:val="20"/>
        </w:rPr>
        <w:t>um contrato tácito (contrato social) OU rejeitam  a origem divina do poder real, considerando que ele emana do povo (Doc. 3);</w:t>
      </w:r>
    </w:p>
    <w:p w:rsidR="009A7FB5" w:rsidRPr="00DB455B" w:rsidRDefault="009A7FB5" w:rsidP="006545FD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advogam</w:t>
      </w:r>
      <w:proofErr w:type="gramEnd"/>
      <w:r w:rsidRPr="00DB455B">
        <w:rPr>
          <w:sz w:val="20"/>
          <w:szCs w:val="20"/>
        </w:rPr>
        <w:t xml:space="preserve"> a divisão dos poderes do estado – le</w:t>
      </w:r>
      <w:r w:rsidR="006545FD">
        <w:rPr>
          <w:sz w:val="20"/>
          <w:szCs w:val="20"/>
        </w:rPr>
        <w:t xml:space="preserve">gislativo, executivo e judicial - </w:t>
      </w:r>
      <w:r w:rsidRPr="00DB455B">
        <w:rPr>
          <w:sz w:val="20"/>
          <w:szCs w:val="20"/>
        </w:rPr>
        <w:t xml:space="preserve"> por órgãos diferentes OU rejeitam a concentração dos poderes do Estado na mão do rei;</w:t>
      </w:r>
    </w:p>
    <w:p w:rsidR="009A7FB5" w:rsidRPr="00DB455B" w:rsidRDefault="006545FD" w:rsidP="006545FD">
      <w:pPr>
        <w:pStyle w:val="ListParagraph"/>
        <w:numPr>
          <w:ilvl w:val="0"/>
          <w:numId w:val="5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pr</w:t>
      </w:r>
      <w:r w:rsidR="009A7FB5" w:rsidRPr="00DB455B">
        <w:rPr>
          <w:sz w:val="20"/>
          <w:szCs w:val="20"/>
        </w:rPr>
        <w:t>oclamam</w:t>
      </w:r>
      <w:proofErr w:type="gramEnd"/>
      <w:r w:rsidR="009A7FB5" w:rsidRPr="00DB455B">
        <w:rPr>
          <w:sz w:val="20"/>
          <w:szCs w:val="20"/>
        </w:rPr>
        <w:t xml:space="preserve"> a liberdade de consciência e de palavra.</w:t>
      </w:r>
    </w:p>
    <w:p w:rsidR="009A7FB5" w:rsidRDefault="009A7FB5" w:rsidP="00DB455B">
      <w:pPr>
        <w:pStyle w:val="ListParagraph"/>
        <w:spacing w:after="0" w:line="240" w:lineRule="auto"/>
        <w:rPr>
          <w:sz w:val="20"/>
          <w:szCs w:val="20"/>
        </w:rPr>
      </w:pPr>
    </w:p>
    <w:p w:rsidR="00DB455B" w:rsidRPr="00DB455B" w:rsidRDefault="00DB455B" w:rsidP="00DB455B">
      <w:pPr>
        <w:pStyle w:val="ListParagraph"/>
        <w:spacing w:after="0" w:line="240" w:lineRule="auto"/>
        <w:rPr>
          <w:sz w:val="20"/>
          <w:szCs w:val="20"/>
        </w:rPr>
      </w:pPr>
    </w:p>
    <w:p w:rsidR="009A7FB5" w:rsidRPr="00DB455B" w:rsidRDefault="009A7FB5" w:rsidP="00DB455B">
      <w:pPr>
        <w:spacing w:after="0" w:line="240" w:lineRule="auto"/>
        <w:jc w:val="center"/>
        <w:rPr>
          <w:b/>
          <w:sz w:val="26"/>
          <w:szCs w:val="26"/>
        </w:rPr>
      </w:pPr>
      <w:r w:rsidRPr="00DB455B">
        <w:rPr>
          <w:b/>
          <w:sz w:val="26"/>
          <w:szCs w:val="26"/>
        </w:rPr>
        <w:t>Grupo III</w:t>
      </w:r>
    </w:p>
    <w:p w:rsidR="00DB455B" w:rsidRPr="00DB455B" w:rsidRDefault="00DB455B" w:rsidP="00DB455B">
      <w:pPr>
        <w:spacing w:after="0" w:line="240" w:lineRule="auto"/>
        <w:jc w:val="center"/>
        <w:rPr>
          <w:b/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9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Apresentar duas razões que justificam o interesse dos países europeus na posse de territórios coloniais (Doc.1).</w:t>
      </w:r>
    </w:p>
    <w:p w:rsidR="009A7FB5" w:rsidRPr="00DB455B" w:rsidRDefault="009A7FB5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O domínio de territórios exten</w:t>
      </w:r>
      <w:r w:rsidR="006545FD">
        <w:rPr>
          <w:sz w:val="20"/>
          <w:szCs w:val="20"/>
        </w:rPr>
        <w:t>sos conferia poderio ao Estado.</w:t>
      </w:r>
    </w:p>
    <w:p w:rsidR="009A7FB5" w:rsidRPr="00DB455B" w:rsidRDefault="006545FD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9A7FB5" w:rsidRPr="00DB455B">
        <w:rPr>
          <w:sz w:val="20"/>
          <w:szCs w:val="20"/>
        </w:rPr>
        <w:t xml:space="preserve">s territórios eram explorados em regime de exclusivo colonial, o que trazia vantagens económicas OU os território dominados forneciam </w:t>
      </w:r>
      <w:proofErr w:type="gramStart"/>
      <w:r w:rsidR="009A7FB5" w:rsidRPr="00DB455B">
        <w:rPr>
          <w:sz w:val="20"/>
          <w:szCs w:val="20"/>
        </w:rPr>
        <w:t>matérias primas</w:t>
      </w:r>
      <w:proofErr w:type="gramEnd"/>
      <w:r w:rsidR="009A7FB5" w:rsidRPr="00DB455B">
        <w:rPr>
          <w:sz w:val="20"/>
          <w:szCs w:val="20"/>
        </w:rPr>
        <w:t xml:space="preserve"> e constituíam um mercado de consumo para os produtos da metrópole.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b/>
          <w:sz w:val="20"/>
          <w:szCs w:val="20"/>
        </w:rPr>
      </w:pPr>
    </w:p>
    <w:p w:rsidR="009A7FB5" w:rsidRPr="00DB455B" w:rsidRDefault="006545FD" w:rsidP="006545FD">
      <w:pPr>
        <w:pStyle w:val="ListParagraph"/>
        <w:numPr>
          <w:ilvl w:val="0"/>
          <w:numId w:val="9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 tráfico negreiro (Doc.2</w:t>
      </w:r>
      <w:r w:rsidR="00463A4F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>:</w:t>
      </w:r>
    </w:p>
    <w:p w:rsidR="009A7FB5" w:rsidRPr="00DB455B" w:rsidRDefault="009A7FB5" w:rsidP="006545FD">
      <w:pPr>
        <w:pStyle w:val="ListParagraph"/>
        <w:numPr>
          <w:ilvl w:val="0"/>
          <w:numId w:val="10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era</w:t>
      </w:r>
      <w:proofErr w:type="gramEnd"/>
      <w:r w:rsidRPr="00DB455B">
        <w:rPr>
          <w:sz w:val="20"/>
          <w:szCs w:val="20"/>
        </w:rPr>
        <w:t xml:space="preserve"> o suporte do comércio triangular.</w:t>
      </w:r>
    </w:p>
    <w:p w:rsidR="009A7FB5" w:rsidRPr="00DB455B" w:rsidRDefault="009A7FB5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9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Identificar a política económica à qual se dirigem as críticas formuladas no Doc. 3.</w:t>
      </w:r>
    </w:p>
    <w:p w:rsidR="009A7FB5" w:rsidRDefault="009A7FB5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Trata-se do Mercantilismo.</w:t>
      </w:r>
    </w:p>
    <w:p w:rsidR="006545FD" w:rsidRDefault="006545FD" w:rsidP="006545FD">
      <w:pPr>
        <w:spacing w:after="0" w:line="240" w:lineRule="auto"/>
        <w:rPr>
          <w:sz w:val="20"/>
          <w:szCs w:val="20"/>
        </w:rPr>
      </w:pPr>
    </w:p>
    <w:p w:rsidR="006545FD" w:rsidRPr="006545FD" w:rsidRDefault="006545FD" w:rsidP="006545FD">
      <w:pPr>
        <w:spacing w:after="0" w:line="240" w:lineRule="auto"/>
        <w:rPr>
          <w:sz w:val="20"/>
          <w:szCs w:val="20"/>
        </w:rPr>
      </w:pP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9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lastRenderedPageBreak/>
        <w:t xml:space="preserve">Referir três medidas tomadas por </w:t>
      </w:r>
      <w:proofErr w:type="spellStart"/>
      <w:r w:rsidRPr="00DB455B">
        <w:rPr>
          <w:b/>
          <w:sz w:val="20"/>
          <w:szCs w:val="20"/>
        </w:rPr>
        <w:t>Colbert</w:t>
      </w:r>
      <w:proofErr w:type="spellEnd"/>
      <w:r w:rsidRPr="00DB455B">
        <w:rPr>
          <w:b/>
          <w:sz w:val="20"/>
          <w:szCs w:val="20"/>
        </w:rPr>
        <w:t xml:space="preserve"> para “colocar os franceses em condições de não precisarem dos outros povos” (Doc.</w:t>
      </w:r>
      <w:r w:rsidR="00463A4F">
        <w:rPr>
          <w:b/>
          <w:sz w:val="20"/>
          <w:szCs w:val="20"/>
        </w:rPr>
        <w:t xml:space="preserve"> </w:t>
      </w:r>
      <w:bookmarkStart w:id="0" w:name="_GoBack"/>
      <w:bookmarkEnd w:id="0"/>
      <w:r w:rsidRPr="00DB455B">
        <w:rPr>
          <w:b/>
          <w:sz w:val="20"/>
          <w:szCs w:val="20"/>
        </w:rPr>
        <w:t>3).</w:t>
      </w:r>
    </w:p>
    <w:p w:rsidR="009A7FB5" w:rsidRDefault="009A7FB5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(Escolher três)</w:t>
      </w:r>
      <w:r w:rsidR="006545FD">
        <w:rPr>
          <w:sz w:val="20"/>
          <w:szCs w:val="20"/>
        </w:rPr>
        <w:t xml:space="preserve"> </w:t>
      </w:r>
    </w:p>
    <w:p w:rsidR="006545FD" w:rsidRPr="00DB455B" w:rsidRDefault="006545FD" w:rsidP="006545FD">
      <w:pPr>
        <w:pStyle w:val="ListParagraph"/>
        <w:spacing w:after="0" w:line="240" w:lineRule="auto"/>
        <w:ind w:left="283"/>
        <w:jc w:val="both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Introduziu novas indústrias, recorrendo à importação de técn</w:t>
      </w:r>
      <w:r w:rsidR="006545FD">
        <w:rPr>
          <w:sz w:val="20"/>
          <w:szCs w:val="20"/>
        </w:rPr>
        <w:t>icas e mão-de-obra estrangeiras.</w:t>
      </w:r>
    </w:p>
    <w:p w:rsidR="009A7FB5" w:rsidRPr="00DB455B" w:rsidRDefault="006545FD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Protegeu</w:t>
      </w:r>
      <w:r w:rsidR="009A7FB5" w:rsidRPr="00DB455B">
        <w:rPr>
          <w:sz w:val="20"/>
          <w:szCs w:val="20"/>
        </w:rPr>
        <w:t xml:space="preserve"> as unidades industriais, con</w:t>
      </w:r>
      <w:r>
        <w:rPr>
          <w:sz w:val="20"/>
          <w:szCs w:val="20"/>
        </w:rPr>
        <w:t>cedendo subsídios e privilégios.</w:t>
      </w:r>
    </w:p>
    <w:p w:rsidR="009A7FB5" w:rsidRPr="00DB455B" w:rsidRDefault="006545FD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Sobrecarregou</w:t>
      </w:r>
      <w:r w:rsidR="009A7FB5" w:rsidRPr="00DB455B">
        <w:rPr>
          <w:sz w:val="20"/>
          <w:szCs w:val="20"/>
        </w:rPr>
        <w:t xml:space="preserve"> os produtos estrangeiros de taxas alfandegárias, a fim de tornar mais comp</w:t>
      </w:r>
      <w:r>
        <w:rPr>
          <w:sz w:val="20"/>
          <w:szCs w:val="20"/>
        </w:rPr>
        <w:t>etitivas as produções nacionais.</w:t>
      </w:r>
    </w:p>
    <w:p w:rsidR="009A7FB5" w:rsidRPr="00DB455B" w:rsidRDefault="006545FD" w:rsidP="006545FD">
      <w:pPr>
        <w:pStyle w:val="ListParagraph"/>
        <w:numPr>
          <w:ilvl w:val="0"/>
          <w:numId w:val="11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Investiu</w:t>
      </w:r>
      <w:r w:rsidR="009A7FB5" w:rsidRPr="00DB455B">
        <w:rPr>
          <w:sz w:val="20"/>
          <w:szCs w:val="20"/>
        </w:rPr>
        <w:t xml:space="preserve"> na frota mercante e na marinha de guerra, procedendo à criação de companhias monopolistas de comércio.</w:t>
      </w:r>
    </w:p>
    <w:p w:rsidR="009A7FB5" w:rsidRPr="00DB455B" w:rsidRDefault="009A7FB5" w:rsidP="00DB455B">
      <w:pPr>
        <w:pStyle w:val="ListParagraph"/>
        <w:spacing w:after="0" w:line="240" w:lineRule="auto"/>
        <w:rPr>
          <w:sz w:val="20"/>
          <w:szCs w:val="20"/>
        </w:rPr>
      </w:pPr>
    </w:p>
    <w:p w:rsidR="009A7FB5" w:rsidRPr="00DB455B" w:rsidRDefault="009A7FB5" w:rsidP="00DB455B">
      <w:pPr>
        <w:pStyle w:val="ListParagraph"/>
        <w:spacing w:after="0" w:line="240" w:lineRule="auto"/>
        <w:ind w:left="1080"/>
        <w:rPr>
          <w:sz w:val="20"/>
          <w:szCs w:val="20"/>
        </w:rPr>
      </w:pPr>
    </w:p>
    <w:p w:rsidR="009A7FB5" w:rsidRPr="00DB455B" w:rsidRDefault="009A7FB5" w:rsidP="00DB455B">
      <w:pPr>
        <w:spacing w:after="0" w:line="240" w:lineRule="auto"/>
        <w:jc w:val="center"/>
        <w:rPr>
          <w:b/>
          <w:sz w:val="26"/>
          <w:szCs w:val="26"/>
        </w:rPr>
      </w:pPr>
      <w:r w:rsidRPr="00DB455B">
        <w:rPr>
          <w:b/>
          <w:sz w:val="26"/>
          <w:szCs w:val="26"/>
        </w:rPr>
        <w:t>Grupo IV</w:t>
      </w:r>
    </w:p>
    <w:p w:rsidR="00DB455B" w:rsidRPr="00DB455B" w:rsidRDefault="00DB455B" w:rsidP="00DB455B">
      <w:pPr>
        <w:spacing w:after="0" w:line="240" w:lineRule="auto"/>
        <w:jc w:val="center"/>
        <w:rPr>
          <w:b/>
          <w:sz w:val="20"/>
          <w:szCs w:val="20"/>
        </w:rPr>
      </w:pPr>
    </w:p>
    <w:p w:rsidR="009A7FB5" w:rsidRPr="00DB455B" w:rsidRDefault="009A7FB5" w:rsidP="00E67898">
      <w:pPr>
        <w:pStyle w:val="ListParagraph"/>
        <w:numPr>
          <w:ilvl w:val="0"/>
          <w:numId w:val="12"/>
        </w:numPr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O Marquês de Pombal</w:t>
      </w:r>
      <w:r w:rsidR="006545FD">
        <w:rPr>
          <w:b/>
          <w:sz w:val="20"/>
          <w:szCs w:val="20"/>
        </w:rPr>
        <w:t>:</w:t>
      </w:r>
    </w:p>
    <w:p w:rsidR="009A7FB5" w:rsidRPr="00DB455B" w:rsidRDefault="009A7FB5" w:rsidP="00E67898">
      <w:pPr>
        <w:pStyle w:val="ListParagraph"/>
        <w:numPr>
          <w:ilvl w:val="0"/>
          <w:numId w:val="10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DB455B">
        <w:rPr>
          <w:sz w:val="20"/>
          <w:szCs w:val="20"/>
        </w:rPr>
        <w:t>foi</w:t>
      </w:r>
      <w:proofErr w:type="gramEnd"/>
      <w:r w:rsidRPr="00DB455B">
        <w:rPr>
          <w:sz w:val="20"/>
          <w:szCs w:val="20"/>
        </w:rPr>
        <w:t xml:space="preserve"> ministro de D. José e criou o Erário Régio.</w:t>
      </w:r>
    </w:p>
    <w:p w:rsidR="009A7FB5" w:rsidRPr="00DB455B" w:rsidRDefault="009A7FB5" w:rsidP="00DB455B">
      <w:pPr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6545FD">
      <w:pPr>
        <w:pStyle w:val="ListParagraph"/>
        <w:numPr>
          <w:ilvl w:val="0"/>
          <w:numId w:val="12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Fazer corresponder os excertos do texto apresentados na coluna A, às realizações que constam da coluna B.</w:t>
      </w:r>
    </w:p>
    <w:p w:rsidR="009A7FB5" w:rsidRPr="00DB455B" w:rsidRDefault="006545FD" w:rsidP="006545FD">
      <w:pPr>
        <w:pStyle w:val="ListParagraph"/>
        <w:numPr>
          <w:ilvl w:val="0"/>
          <w:numId w:val="13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="009A7FB5" w:rsidRPr="00DB455B">
        <w:rPr>
          <w:sz w:val="20"/>
          <w:szCs w:val="20"/>
        </w:rPr>
        <w:t>2</w:t>
      </w:r>
      <w:r>
        <w:rPr>
          <w:sz w:val="20"/>
          <w:szCs w:val="20"/>
        </w:rPr>
        <w:t>;</w:t>
      </w:r>
    </w:p>
    <w:p w:rsidR="009A7FB5" w:rsidRPr="00DB455B" w:rsidRDefault="006545FD" w:rsidP="006545FD">
      <w:pPr>
        <w:pStyle w:val="ListParagraph"/>
        <w:numPr>
          <w:ilvl w:val="0"/>
          <w:numId w:val="13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="009A7FB5" w:rsidRPr="00DB455B">
        <w:rPr>
          <w:sz w:val="20"/>
          <w:szCs w:val="20"/>
        </w:rPr>
        <w:t>1</w:t>
      </w:r>
      <w:r>
        <w:rPr>
          <w:sz w:val="20"/>
          <w:szCs w:val="20"/>
        </w:rPr>
        <w:t>;</w:t>
      </w:r>
    </w:p>
    <w:p w:rsidR="009A7FB5" w:rsidRPr="00DB455B" w:rsidRDefault="006545FD" w:rsidP="006545FD">
      <w:pPr>
        <w:pStyle w:val="ListParagraph"/>
        <w:numPr>
          <w:ilvl w:val="0"/>
          <w:numId w:val="13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="009A7FB5" w:rsidRPr="00DB455B">
        <w:rPr>
          <w:sz w:val="20"/>
          <w:szCs w:val="20"/>
        </w:rPr>
        <w:t>7</w:t>
      </w:r>
      <w:r>
        <w:rPr>
          <w:sz w:val="20"/>
          <w:szCs w:val="20"/>
        </w:rPr>
        <w:t>:</w:t>
      </w:r>
    </w:p>
    <w:p w:rsidR="009A7FB5" w:rsidRPr="00DB455B" w:rsidRDefault="006545FD" w:rsidP="006545FD">
      <w:pPr>
        <w:pStyle w:val="ListParagraph"/>
        <w:numPr>
          <w:ilvl w:val="0"/>
          <w:numId w:val="13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</w:t>
      </w:r>
      <w:r w:rsidR="009A7FB5" w:rsidRPr="00DB455B">
        <w:rPr>
          <w:sz w:val="20"/>
          <w:szCs w:val="20"/>
        </w:rPr>
        <w:t>3</w:t>
      </w:r>
      <w:r>
        <w:rPr>
          <w:sz w:val="20"/>
          <w:szCs w:val="20"/>
        </w:rPr>
        <w:t>.</w:t>
      </w:r>
    </w:p>
    <w:p w:rsidR="009A7FB5" w:rsidRPr="00DB455B" w:rsidRDefault="009A7FB5" w:rsidP="00DB455B">
      <w:pPr>
        <w:pStyle w:val="ListParagraph"/>
        <w:spacing w:after="0" w:line="240" w:lineRule="auto"/>
        <w:ind w:left="283"/>
        <w:rPr>
          <w:sz w:val="20"/>
          <w:szCs w:val="20"/>
        </w:rPr>
      </w:pPr>
    </w:p>
    <w:p w:rsidR="009A7FB5" w:rsidRPr="00DB455B" w:rsidRDefault="009A7FB5" w:rsidP="00E67898">
      <w:pPr>
        <w:pStyle w:val="ListParagraph"/>
        <w:numPr>
          <w:ilvl w:val="0"/>
          <w:numId w:val="12"/>
        </w:numPr>
        <w:spacing w:after="0" w:line="240" w:lineRule="auto"/>
        <w:ind w:left="283"/>
        <w:rPr>
          <w:b/>
          <w:sz w:val="20"/>
          <w:szCs w:val="20"/>
        </w:rPr>
      </w:pPr>
      <w:r w:rsidRPr="00DB455B">
        <w:rPr>
          <w:b/>
          <w:sz w:val="20"/>
          <w:szCs w:val="20"/>
        </w:rPr>
        <w:t>Explicar por que razão o autor se defende de acusações de crueldade.</w:t>
      </w:r>
    </w:p>
    <w:p w:rsidR="009A7FB5" w:rsidRPr="00DB455B" w:rsidRDefault="009A7FB5" w:rsidP="006545FD">
      <w:pPr>
        <w:pStyle w:val="ListParagraph"/>
        <w:numPr>
          <w:ilvl w:val="0"/>
          <w:numId w:val="14"/>
        </w:numPr>
        <w:spacing w:after="0" w:line="240" w:lineRule="auto"/>
        <w:ind w:left="567"/>
        <w:jc w:val="both"/>
        <w:rPr>
          <w:sz w:val="20"/>
          <w:szCs w:val="20"/>
        </w:rPr>
      </w:pPr>
      <w:r w:rsidRPr="00DB455B">
        <w:rPr>
          <w:sz w:val="20"/>
          <w:szCs w:val="20"/>
        </w:rPr>
        <w:t>Ministro todo-poderoso de D. José, o Marquês de Pombal submeteu as ordens privilegiadas ao poder real. Destaca-se, neste âmbito, a perseguição que moveu aos Jesuítas, que declarou traidores e adversários do</w:t>
      </w:r>
      <w:r w:rsidR="006545FD">
        <w:rPr>
          <w:sz w:val="20"/>
          <w:szCs w:val="20"/>
        </w:rPr>
        <w:t xml:space="preserve"> rei, expulsando-os de Portugal</w:t>
      </w:r>
      <w:r w:rsidRPr="00DB455B">
        <w:rPr>
          <w:sz w:val="20"/>
          <w:szCs w:val="20"/>
        </w:rPr>
        <w:t>, e a forma cruel como fez execu</w:t>
      </w:r>
      <w:r w:rsidR="006545FD">
        <w:rPr>
          <w:sz w:val="20"/>
          <w:szCs w:val="20"/>
        </w:rPr>
        <w:t xml:space="preserve">tar os implicados na tentativa </w:t>
      </w:r>
      <w:r w:rsidRPr="00DB455B">
        <w:rPr>
          <w:sz w:val="20"/>
          <w:szCs w:val="20"/>
        </w:rPr>
        <w:t>de regicídio, entre os quais se contavam elementos da alta nobreza.</w:t>
      </w:r>
    </w:p>
    <w:p w:rsidR="009A7FB5" w:rsidRPr="00DB455B" w:rsidRDefault="009A7FB5" w:rsidP="00DB455B">
      <w:pPr>
        <w:spacing w:after="0" w:line="240" w:lineRule="auto"/>
        <w:rPr>
          <w:sz w:val="20"/>
          <w:szCs w:val="20"/>
        </w:rPr>
      </w:pPr>
    </w:p>
    <w:p w:rsidR="008E1357" w:rsidRPr="00936925" w:rsidRDefault="008E1357" w:rsidP="00DB455B">
      <w:pPr>
        <w:spacing w:after="0" w:line="240" w:lineRule="auto"/>
        <w:rPr>
          <w:sz w:val="20"/>
          <w:szCs w:val="20"/>
        </w:rPr>
      </w:pPr>
    </w:p>
    <w:sectPr w:rsidR="008E1357" w:rsidRPr="00936925" w:rsidSect="005B07BF">
      <w:footerReference w:type="default" r:id="rId8"/>
      <w:pgSz w:w="11906" w:h="16838" w:code="9"/>
      <w:pgMar w:top="1304" w:right="1701" w:bottom="1304" w:left="1701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21B" w:rsidRDefault="0072021B" w:rsidP="00195CA3">
      <w:pPr>
        <w:spacing w:after="0" w:line="240" w:lineRule="auto"/>
      </w:pPr>
      <w:r>
        <w:separator/>
      </w:r>
    </w:p>
  </w:endnote>
  <w:endnote w:type="continuationSeparator" w:id="0">
    <w:p w:rsidR="0072021B" w:rsidRDefault="0072021B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CA3" w:rsidRDefault="00463A4F">
    <w:pPr>
      <w:pStyle w:val="Footer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EndPr/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9A7FB5">
          <w:rPr>
            <w:sz w:val="16"/>
            <w:szCs w:val="16"/>
          </w:rPr>
          <w:t>8</w:t>
        </w:r>
        <w:r w:rsidR="00195CA3">
          <w:rPr>
            <w:sz w:val="16"/>
            <w:szCs w:val="16"/>
          </w:rPr>
          <w:t xml:space="preserve"> (correção), Célia Pinto do Couto e Maria Antónia Monterroso Rosas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21B" w:rsidRDefault="0072021B" w:rsidP="00195CA3">
      <w:pPr>
        <w:spacing w:after="0" w:line="240" w:lineRule="auto"/>
      </w:pPr>
      <w:r>
        <w:separator/>
      </w:r>
    </w:p>
  </w:footnote>
  <w:footnote w:type="continuationSeparator" w:id="0">
    <w:p w:rsidR="0072021B" w:rsidRDefault="0072021B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657B2"/>
    <w:multiLevelType w:val="hybridMultilevel"/>
    <w:tmpl w:val="0FBAC662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0CDB635D"/>
    <w:multiLevelType w:val="hybridMultilevel"/>
    <w:tmpl w:val="00F63E8C"/>
    <w:lvl w:ilvl="0" w:tplc="CB609C48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7654F"/>
    <w:multiLevelType w:val="hybridMultilevel"/>
    <w:tmpl w:val="AAD650B6"/>
    <w:lvl w:ilvl="0" w:tplc="3D380C24">
      <w:start w:val="1"/>
      <w:numFmt w:val="lowerLetter"/>
      <w:lvlText w:val="%1)"/>
      <w:lvlJc w:val="left"/>
      <w:pPr>
        <w:ind w:left="644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033220D"/>
    <w:multiLevelType w:val="hybridMultilevel"/>
    <w:tmpl w:val="FA58AC64"/>
    <w:lvl w:ilvl="0" w:tplc="09FC6B72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181348A7"/>
    <w:multiLevelType w:val="hybridMultilevel"/>
    <w:tmpl w:val="FE5EE450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1A846B71"/>
    <w:multiLevelType w:val="hybridMultilevel"/>
    <w:tmpl w:val="33E4252A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21D94962"/>
    <w:multiLevelType w:val="hybridMultilevel"/>
    <w:tmpl w:val="F83001EE"/>
    <w:lvl w:ilvl="0" w:tplc="83B65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257E7"/>
    <w:multiLevelType w:val="hybridMultilevel"/>
    <w:tmpl w:val="14DCB0EE"/>
    <w:lvl w:ilvl="0" w:tplc="83B65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74E2F"/>
    <w:multiLevelType w:val="hybridMultilevel"/>
    <w:tmpl w:val="4ED6CBBC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4A36328A"/>
    <w:multiLevelType w:val="hybridMultilevel"/>
    <w:tmpl w:val="4B3CA558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573725AC"/>
    <w:multiLevelType w:val="hybridMultilevel"/>
    <w:tmpl w:val="F9F4CBF2"/>
    <w:lvl w:ilvl="0" w:tplc="3D380C24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5C0446A9"/>
    <w:multiLevelType w:val="hybridMultilevel"/>
    <w:tmpl w:val="0B228642"/>
    <w:lvl w:ilvl="0" w:tplc="83B65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F02B05"/>
    <w:multiLevelType w:val="hybridMultilevel"/>
    <w:tmpl w:val="42DA0CF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b/>
        <w:i w:val="0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6FD45AE9"/>
    <w:multiLevelType w:val="hybridMultilevel"/>
    <w:tmpl w:val="A8B23B0C"/>
    <w:lvl w:ilvl="0" w:tplc="83B658FA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5"/>
  </w:num>
  <w:num w:numId="12">
    <w:abstractNumId w:val="13"/>
  </w:num>
  <w:num w:numId="13">
    <w:abstractNumId w:val="10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3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3D02"/>
    <w:rsid w:val="000262EE"/>
    <w:rsid w:val="00047785"/>
    <w:rsid w:val="0008534F"/>
    <w:rsid w:val="000B17C5"/>
    <w:rsid w:val="000B3D25"/>
    <w:rsid w:val="000C3391"/>
    <w:rsid w:val="000C59F2"/>
    <w:rsid w:val="0013443B"/>
    <w:rsid w:val="00140EE8"/>
    <w:rsid w:val="00195CA3"/>
    <w:rsid w:val="001A63ED"/>
    <w:rsid w:val="001B625E"/>
    <w:rsid w:val="002423D9"/>
    <w:rsid w:val="00246035"/>
    <w:rsid w:val="00255283"/>
    <w:rsid w:val="002B33D3"/>
    <w:rsid w:val="002C0B39"/>
    <w:rsid w:val="002E5B84"/>
    <w:rsid w:val="002E67FA"/>
    <w:rsid w:val="002F2FD3"/>
    <w:rsid w:val="002F6B7F"/>
    <w:rsid w:val="003147B5"/>
    <w:rsid w:val="00335815"/>
    <w:rsid w:val="003379DB"/>
    <w:rsid w:val="00362858"/>
    <w:rsid w:val="00371089"/>
    <w:rsid w:val="00373C3D"/>
    <w:rsid w:val="00390225"/>
    <w:rsid w:val="003B3358"/>
    <w:rsid w:val="00402CBA"/>
    <w:rsid w:val="00452FF7"/>
    <w:rsid w:val="004613B4"/>
    <w:rsid w:val="00463A4F"/>
    <w:rsid w:val="00483EE6"/>
    <w:rsid w:val="004A4F1E"/>
    <w:rsid w:val="004D3E57"/>
    <w:rsid w:val="004F0905"/>
    <w:rsid w:val="004F20B0"/>
    <w:rsid w:val="00501C36"/>
    <w:rsid w:val="00536F76"/>
    <w:rsid w:val="00540219"/>
    <w:rsid w:val="00540257"/>
    <w:rsid w:val="00551306"/>
    <w:rsid w:val="0055311D"/>
    <w:rsid w:val="005772C5"/>
    <w:rsid w:val="005876ED"/>
    <w:rsid w:val="005B07BF"/>
    <w:rsid w:val="005C3F55"/>
    <w:rsid w:val="00600AEE"/>
    <w:rsid w:val="006100D7"/>
    <w:rsid w:val="006545FD"/>
    <w:rsid w:val="006627BB"/>
    <w:rsid w:val="006706A8"/>
    <w:rsid w:val="006C74D8"/>
    <w:rsid w:val="00716C28"/>
    <w:rsid w:val="0072021B"/>
    <w:rsid w:val="007207A5"/>
    <w:rsid w:val="007207A9"/>
    <w:rsid w:val="007318CA"/>
    <w:rsid w:val="00754E3E"/>
    <w:rsid w:val="007A3C4A"/>
    <w:rsid w:val="00814F56"/>
    <w:rsid w:val="00817B88"/>
    <w:rsid w:val="0085760E"/>
    <w:rsid w:val="00866693"/>
    <w:rsid w:val="008C0E0B"/>
    <w:rsid w:val="008C1ADA"/>
    <w:rsid w:val="008E1357"/>
    <w:rsid w:val="00936925"/>
    <w:rsid w:val="00947B78"/>
    <w:rsid w:val="0096450C"/>
    <w:rsid w:val="009A7BA3"/>
    <w:rsid w:val="009A7FB5"/>
    <w:rsid w:val="00A12911"/>
    <w:rsid w:val="00A643D4"/>
    <w:rsid w:val="00AA552F"/>
    <w:rsid w:val="00AD3103"/>
    <w:rsid w:val="00B6221A"/>
    <w:rsid w:val="00B83D02"/>
    <w:rsid w:val="00BB2578"/>
    <w:rsid w:val="00BF0734"/>
    <w:rsid w:val="00C27057"/>
    <w:rsid w:val="00C41C21"/>
    <w:rsid w:val="00C449FF"/>
    <w:rsid w:val="00C83CF5"/>
    <w:rsid w:val="00C93539"/>
    <w:rsid w:val="00CA4A6D"/>
    <w:rsid w:val="00CB1730"/>
    <w:rsid w:val="00D95562"/>
    <w:rsid w:val="00DA1440"/>
    <w:rsid w:val="00DB455B"/>
    <w:rsid w:val="00DC4734"/>
    <w:rsid w:val="00DC5625"/>
    <w:rsid w:val="00E51051"/>
    <w:rsid w:val="00E67898"/>
    <w:rsid w:val="00EA114F"/>
    <w:rsid w:val="00EC3996"/>
    <w:rsid w:val="00EC3BCD"/>
    <w:rsid w:val="00EE5A9D"/>
    <w:rsid w:val="00EF02F7"/>
    <w:rsid w:val="00F50780"/>
    <w:rsid w:val="00FB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o:colormenu v:ext="edit" fillcolor="none [660]"/>
    </o:shapedefaults>
    <o:shapelayout v:ext="edit">
      <o:idmap v:ext="edit" data="1"/>
    </o:shapelayout>
  </w:shapeDefaults>
  <w:decimalSymbol w:val=","/>
  <w:listSeparator w:val=";"/>
  <w15:docId w15:val="{632E3E22-CD14-490F-8CEF-4F78CA8A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leGrid">
    <w:name w:val="Table Grid"/>
    <w:basedOn w:val="Table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5CA3"/>
  </w:style>
  <w:style w:type="paragraph" w:styleId="Footer">
    <w:name w:val="footer"/>
    <w:basedOn w:val="Normal"/>
    <w:link w:val="FooterCha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5CA3"/>
  </w:style>
  <w:style w:type="paragraph" w:customStyle="1" w:styleId="PargrafodaLista1">
    <w:name w:val="Parágrafo da Lista1"/>
    <w:basedOn w:val="Normal"/>
    <w:rsid w:val="00047785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D4D73-EB3C-48D9-AB55-4EB2D02CB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965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Ana Magalhães</cp:lastModifiedBy>
  <cp:revision>3</cp:revision>
  <dcterms:created xsi:type="dcterms:W3CDTF">2014-06-16T15:43:00Z</dcterms:created>
  <dcterms:modified xsi:type="dcterms:W3CDTF">2014-06-17T14:14:00Z</dcterms:modified>
</cp:coreProperties>
</file>