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82737" w:rsidRDefault="00782737" w:rsidP="00782737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78A4BCAB" wp14:editId="62E6F6D0">
                <wp:extent cx="5757428" cy="216000"/>
                <wp:effectExtent l="0" t="0" r="0" b="0"/>
                <wp:docPr id="322" name="Skupina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323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2737" w:rsidRPr="0013505B" w:rsidRDefault="00782737" w:rsidP="00782737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</w:t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Pr="00571492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(</w:t>
                              </w:r>
                              <w:proofErr w:type="gramStart"/>
                              <w:r w:rsidRPr="00571492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M)EU</w:t>
                              </w:r>
                              <w:proofErr w:type="gramEnd"/>
                              <w:r w:rsidRPr="00571492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 xml:space="preserve"> SONHO, MINHA(S) VONTADE(S)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22" o:spid="_x0000_s1061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">
                <v:rect id="Rectangle 3" o:spid="_x0000_s106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uiacIA&#10;AADcAAAADwAAAGRycy9kb3ducmV2LnhtbESPT4vCMBTE7wt+h/AEb2uqRZGuURZF8OofRG+P5tl2&#10;t3kpSaz12xtB8DjMzG+Y+bIztWjJ+cqygtEwAUGcW11xoeB42HzPQPiArLG2TAoe5GG56H3NMdP2&#10;zjtq96EQEcI+QwVlCE0mpc9LMuiHtiGO3tU6gyFKV0jt8B7hppbjJJlKgxXHhRIbWpWU/+9vRsFJ&#10;H8+j1k0u13yb8sT4w+UvXSs16He/PyACdeETfre3WkE6TuF1Jh4B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26JpwgAAANwAAAAPAAAAAAAAAAAAAAAAAJgCAABkcnMvZG93&#10;bnJldi54bWxQSwUGAAAAAAQABAD1AAAAhwMAAAAA&#10;" fillcolor="#727376" stroked="f">
                  <v:path arrowok="t"/>
                  <v:textbox>
                    <w:txbxContent>
                      <w:p w:rsidR="00782737" w:rsidRPr="0013505B" w:rsidRDefault="00782737" w:rsidP="00782737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7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</w:t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4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Pr="00571492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(</w:t>
                        </w:r>
                        <w:proofErr w:type="gramStart"/>
                        <w:r w:rsidRPr="00571492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M)EU</w:t>
                        </w:r>
                        <w:proofErr w:type="gramEnd"/>
                        <w:r w:rsidRPr="00571492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 xml:space="preserve"> SONHO, MINHA(S) VONTADE(S)</w:t>
                        </w:r>
                      </w:p>
                    </w:txbxContent>
                  </v:textbox>
                </v:rect>
                <v:rect id="Freeform 4" o:spid="_x0000_s106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Pk1sYA&#10;AADcAAAADwAAAGRycy9kb3ducmV2LnhtbESPzWrCQBSF90LfYbgFN2ImaiklOoY2IHSjJWlB3F0y&#10;1ySYuRMyY0z79J1CweXh/HycTTqaVgzUu8aygkUUgyAurW64UvD1uZu/gHAeWWNrmRR8k4N0+zDZ&#10;YKLtjXMaCl+JMMIuQQW1910ipStrMugi2xEH72x7gz7IvpK6x1sYN61cxvGzNNhwINTYUVZTeSmu&#10;JkDyE+2zg7kUh5+P2fmY+7dh1EpNH8fXNQhPo7+H/9vvWsFq+QR/Z8IR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6Pk1sYAAADcAAAADwAAAAAAAAAAAAAAAACYAgAAZHJz&#10;L2Rvd25yZXYueG1sUEsFBgAAAAAEAAQA9QAAAIsDAAAAAA==&#10;" fillcolor="#bcbec0" stroked="f" strokeweight="1.0354mm">
                  <v:stroke joinstyle="round"/>
                  <v:path arrowok="t"/>
                </v:rect>
                <v:rect id="Rectangle 5" o:spid="_x0000_s106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EmZcYA&#10;AADcAAAADwAAAGRycy9kb3ducmV2LnhtbESPW2vCQBSE3wv+h+UIvtWNikWjq3hBKNgWjJfnQ/aY&#10;RLNnY3ar6b/vFgo+DjPzDTOdN6YUd6pdYVlBrxuBIE6tLjhTcNhvXkcgnEfWWFomBT/kYD5rvUwx&#10;1vbBO7onPhMBwi5GBbn3VSylS3My6Lq2Ig7e2dYGfZB1JnWNjwA3pexH0Zs0WHBYyLGiVU7pNfk2&#10;CrbHL7NcbhdJcilWH8NPq9e301ipTrtZTEB4avwz/N9+1woG/SH8nQlH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VEmZcYAAADcAAAADwAAAAAAAAAAAAAAAACYAgAAZHJz&#10;L2Rvd25yZXYueG1sUEsFBgAAAAAEAAQA9QAAAIsDAAAAAA==&#10;" fillcolor="#96989a" stroked="f">
                  <v:path arrowok="t"/>
                </v:rect>
                <v:rect id="Freeform 6" o:spid="_x0000_s106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4n8UA&#10;AADcAAAADwAAAGRycy9kb3ducmV2LnhtbESPT2vCQBTE7wW/w/IEb3VTK1JT1xBaKgrF4p+Dx0f2&#10;uQlm34bsauK3dwuFHoeZ+Q2zyHpbixu1vnKs4GWcgCAunK7YKDgevp7fQPiArLF2TAru5CFbDp4W&#10;mGrX8Y5u+2BEhLBPUUEZQpNK6YuSLPqxa4ijd3atxRBla6RusYtwW8tJksykxYrjQokNfZRUXPZX&#10;qyB3n5f5z84bg1s/XW1OsvsOZ6VGwz5/BxGoD//hv/ZaK3idzOD3TDw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FnifxQAAANwAAAAPAAAAAAAAAAAAAAAAAJgCAABkcnMv&#10;ZG93bnJldi54bWxQSwUGAAAAAAQABAD1AAAAigMAAAAA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782737" w:rsidRDefault="00782737" w:rsidP="00782737">
      <w:pPr>
        <w:tabs>
          <w:tab w:val="right" w:pos="9072"/>
        </w:tabs>
        <w:spacing w:after="40"/>
        <w:rPr>
          <w:rFonts w:cs="Arial"/>
          <w:sz w:val="12"/>
          <w:szCs w:val="12"/>
        </w:rPr>
      </w:pPr>
      <w:r w:rsidRPr="00571492">
        <w:rPr>
          <w:rFonts w:cs="Arial"/>
          <w:b/>
          <w:bCs/>
          <w:sz w:val="24"/>
          <w:szCs w:val="24"/>
        </w:rPr>
        <w:t>“Sete-Sóis e Sete-Luas, heróis do pé descalço”</w:t>
      </w:r>
      <w:r>
        <w:rPr>
          <w:rFonts w:cs="Arial"/>
          <w:b/>
          <w:bCs/>
          <w:sz w:val="24"/>
          <w:szCs w:val="24"/>
        </w:rPr>
        <w:tab/>
      </w:r>
      <w:r w:rsidRPr="00CE75F4">
        <w:rPr>
          <w:rFonts w:cs="Arial"/>
          <w:sz w:val="12"/>
          <w:szCs w:val="12"/>
        </w:rPr>
        <w:t xml:space="preserve">Ver </w:t>
      </w:r>
      <w:r w:rsidRPr="00CE75F4">
        <w:rPr>
          <w:rFonts w:cs="Arial"/>
          <w:b/>
          <w:bCs/>
          <w:sz w:val="12"/>
          <w:szCs w:val="12"/>
        </w:rPr>
        <w:t xml:space="preserve">MANUAL </w:t>
      </w:r>
      <w:r w:rsidRPr="00CE75F4">
        <w:rPr>
          <w:rFonts w:cs="Arial"/>
          <w:sz w:val="12"/>
          <w:szCs w:val="12"/>
        </w:rPr>
        <w:t xml:space="preserve">p. </w:t>
      </w:r>
      <w:r>
        <w:rPr>
          <w:rFonts w:cs="Arial"/>
          <w:sz w:val="12"/>
          <w:szCs w:val="12"/>
        </w:rPr>
        <w:t>296</w:t>
      </w:r>
    </w:p>
    <w:p w:rsidR="00782737" w:rsidRDefault="00782737" w:rsidP="00782737">
      <w:pPr>
        <w:spacing w:after="240" w:line="240" w:lineRule="auto"/>
        <w:rPr>
          <w:sz w:val="2"/>
          <w:lang w:val="cs-CZ"/>
        </w:rPr>
      </w:pPr>
      <w:r w:rsidRPr="00E8168A">
        <w:rPr>
          <w:noProof/>
          <w:sz w:val="2"/>
          <w:lang w:eastAsia="pt-PT"/>
        </w:rPr>
        <mc:AlternateContent>
          <mc:Choice Requires="wps">
            <w:drawing>
              <wp:inline distT="0" distB="0" distL="0" distR="0" wp14:anchorId="51976BCB" wp14:editId="390F299B">
                <wp:extent cx="5760000" cy="36000"/>
                <wp:effectExtent l="0" t="0" r="0" b="2540"/>
                <wp:docPr id="327" name="Obdélník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 w="3937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327" o:spid="_x0000_s1026" style="width:453.55pt;height: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" fillcolor="#96989a" stroked="f" strokeweight="3.1pt">
                <v:stroke joinstyle="round"/>
                <v:path arrowok="t"/>
                <w10:anchorlock/>
              </v:rect>
            </w:pict>
          </mc:Fallback>
        </mc:AlternateContent>
      </w:r>
    </w:p>
    <w:p w:rsidR="000B6049" w:rsidRPr="00571492" w:rsidRDefault="000B6049" w:rsidP="000B6049">
      <w:pPr>
        <w:rPr>
          <w:rFonts w:cs="Arial"/>
          <w:color w:val="000000"/>
          <w:szCs w:val="23"/>
        </w:rPr>
      </w:pPr>
      <w:r w:rsidRPr="00571492">
        <w:rPr>
          <w:rFonts w:cs="Arial"/>
          <w:szCs w:val="23"/>
        </w:rPr>
        <w:t xml:space="preserve">Lê atentamente o texto </w:t>
      </w:r>
      <w:r w:rsidRPr="00571492">
        <w:rPr>
          <w:rFonts w:cs="Arial"/>
          <w:b/>
          <w:bCs/>
          <w:szCs w:val="23"/>
        </w:rPr>
        <w:t>“Sete-Sóis e Sete-Luas, heróis do pé descalço”</w:t>
      </w:r>
      <w:r w:rsidRPr="00571492">
        <w:rPr>
          <w:rFonts w:cs="Arial"/>
          <w:szCs w:val="23"/>
        </w:rPr>
        <w:t>, presente na página 296 do manual.</w:t>
      </w:r>
    </w:p>
    <w:p w:rsidR="000B6049" w:rsidRPr="00BC68F9" w:rsidRDefault="000B6049" w:rsidP="00C8466E">
      <w:pPr>
        <w:pStyle w:val="ListParagraph"/>
        <w:numPr>
          <w:ilvl w:val="0"/>
          <w:numId w:val="16"/>
        </w:numPr>
        <w:spacing w:before="240"/>
        <w:ind w:left="357" w:hanging="357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Para responderes a cada um dos itens </w:t>
      </w:r>
      <w:r w:rsidRPr="00BC68F9">
        <w:rPr>
          <w:rFonts w:cs="Arial"/>
          <w:b/>
          <w:bCs/>
          <w:szCs w:val="23"/>
        </w:rPr>
        <w:t xml:space="preserve">1.1. </w:t>
      </w:r>
      <w:r w:rsidRPr="00BC68F9">
        <w:rPr>
          <w:rFonts w:cs="Arial"/>
          <w:szCs w:val="23"/>
        </w:rPr>
        <w:t xml:space="preserve">a </w:t>
      </w:r>
      <w:r w:rsidRPr="00BC68F9">
        <w:rPr>
          <w:rFonts w:cs="Arial"/>
          <w:b/>
          <w:bCs/>
          <w:szCs w:val="23"/>
        </w:rPr>
        <w:t>1.7.</w:t>
      </w:r>
      <w:r w:rsidRPr="00BC68F9">
        <w:rPr>
          <w:rFonts w:cs="Arial"/>
          <w:szCs w:val="23"/>
        </w:rPr>
        <w:t>, seleciona a única opção que permite obter uma afirmação adequada ao sentido do texto.</w:t>
      </w:r>
    </w:p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O adjetivo </w:t>
      </w:r>
      <w:r w:rsidRPr="00BC68F9">
        <w:rPr>
          <w:rFonts w:cs="Arial"/>
          <w:i/>
          <w:iCs/>
          <w:szCs w:val="23"/>
        </w:rPr>
        <w:t xml:space="preserve">“simpático” </w:t>
      </w:r>
      <w:r w:rsidRPr="00BC68F9">
        <w:rPr>
          <w:rFonts w:cs="Arial"/>
          <w:color w:val="5F6062"/>
          <w:sz w:val="16"/>
          <w:szCs w:val="17"/>
        </w:rPr>
        <w:t xml:space="preserve">(l. 2) </w:t>
      </w:r>
      <w:r w:rsidRPr="00BC68F9">
        <w:rPr>
          <w:rFonts w:cs="Arial"/>
          <w:szCs w:val="23"/>
        </w:rPr>
        <w:t>é utilizado no primeiro parágrafo no grau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707"/>
      </w:tblGrid>
      <w:tr w:rsidR="000B6049" w:rsidTr="00BC68F9">
        <w:tc>
          <w:tcPr>
            <w:tcW w:w="4503" w:type="dxa"/>
          </w:tcPr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  <w:rPr>
                <w:color w:val="000000"/>
                <w:sz w:val="26"/>
                <w:szCs w:val="26"/>
              </w:rPr>
            </w:pPr>
            <w:proofErr w:type="gramStart"/>
            <w:r w:rsidRPr="00571492">
              <w:t>normal</w:t>
            </w:r>
            <w:proofErr w:type="gramEnd"/>
            <w:r w:rsidRPr="00571492">
              <w:t>.</w:t>
            </w:r>
          </w:p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  <w:rPr>
                <w:color w:val="000000"/>
                <w:sz w:val="26"/>
                <w:szCs w:val="26"/>
              </w:rPr>
            </w:pPr>
            <w:proofErr w:type="gramStart"/>
            <w:r w:rsidRPr="00571492">
              <w:t>comparativo</w:t>
            </w:r>
            <w:proofErr w:type="gramEnd"/>
            <w:r w:rsidRPr="00571492">
              <w:t xml:space="preserve"> de superioridade.</w:t>
            </w:r>
          </w:p>
        </w:tc>
        <w:tc>
          <w:tcPr>
            <w:tcW w:w="4707" w:type="dxa"/>
          </w:tcPr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  <w:rPr>
                <w:color w:val="000000"/>
                <w:sz w:val="26"/>
                <w:szCs w:val="26"/>
              </w:rPr>
            </w:pPr>
            <w:proofErr w:type="gramStart"/>
            <w:r w:rsidRPr="00571492">
              <w:t>superlativo</w:t>
            </w:r>
            <w:proofErr w:type="gramEnd"/>
            <w:r w:rsidRPr="00571492">
              <w:t xml:space="preserve"> relativo de superioridade.</w:t>
            </w:r>
          </w:p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  <w:rPr>
                <w:color w:val="000000"/>
                <w:sz w:val="26"/>
                <w:szCs w:val="26"/>
              </w:rPr>
            </w:pPr>
            <w:proofErr w:type="gramStart"/>
            <w:r w:rsidRPr="00571492">
              <w:t>superlativo</w:t>
            </w:r>
            <w:proofErr w:type="gramEnd"/>
            <w:r w:rsidRPr="00571492">
              <w:t xml:space="preserve"> absoluto analítico.</w:t>
            </w:r>
          </w:p>
        </w:tc>
      </w:tr>
    </w:tbl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A palavra </w:t>
      </w:r>
      <w:r w:rsidRPr="00BC68F9">
        <w:rPr>
          <w:rFonts w:cs="Arial"/>
          <w:i/>
          <w:iCs/>
          <w:szCs w:val="23"/>
        </w:rPr>
        <w:t xml:space="preserve">“pontes” </w:t>
      </w:r>
      <w:r w:rsidRPr="00BC68F9">
        <w:rPr>
          <w:rFonts w:cs="Arial"/>
          <w:color w:val="5F6062"/>
          <w:sz w:val="16"/>
          <w:szCs w:val="17"/>
        </w:rPr>
        <w:t>(</w:t>
      </w:r>
      <w:proofErr w:type="spellStart"/>
      <w:r w:rsidRPr="00BC68F9">
        <w:rPr>
          <w:rFonts w:cs="Arial"/>
          <w:color w:val="5F6062"/>
          <w:sz w:val="16"/>
          <w:szCs w:val="17"/>
        </w:rPr>
        <w:t>ll</w:t>
      </w:r>
      <w:proofErr w:type="spellEnd"/>
      <w:r w:rsidRPr="00BC68F9">
        <w:rPr>
          <w:rFonts w:cs="Arial"/>
          <w:color w:val="5F6062"/>
          <w:sz w:val="16"/>
          <w:szCs w:val="17"/>
        </w:rPr>
        <w:t xml:space="preserve">. 6-7) </w:t>
      </w:r>
      <w:r w:rsidRPr="00BC68F9">
        <w:rPr>
          <w:rFonts w:cs="Arial"/>
          <w:szCs w:val="23"/>
        </w:rPr>
        <w:t xml:space="preserve">é utilizada com o sentido figurado </w:t>
      </w:r>
      <w:proofErr w:type="gramStart"/>
      <w:r w:rsidRPr="00BC68F9">
        <w:rPr>
          <w:rFonts w:cs="Arial"/>
          <w:szCs w:val="23"/>
        </w:rPr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126"/>
        <w:gridCol w:w="1985"/>
        <w:gridCol w:w="2090"/>
      </w:tblGrid>
      <w:tr w:rsidR="000B6049" w:rsidTr="00BC68F9">
        <w:tc>
          <w:tcPr>
            <w:tcW w:w="3085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construções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</w:tc>
        <w:tc>
          <w:tcPr>
            <w:tcW w:w="2126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ligações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</w:tc>
        <w:tc>
          <w:tcPr>
            <w:tcW w:w="1985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passagens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</w:tc>
        <w:tc>
          <w:tcPr>
            <w:tcW w:w="2090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elevações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</w:tc>
      </w:tr>
    </w:tbl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Em </w:t>
      </w:r>
      <w:r w:rsidRPr="00BC68F9">
        <w:rPr>
          <w:rFonts w:cs="Arial"/>
          <w:i/>
          <w:iCs/>
          <w:szCs w:val="23"/>
        </w:rPr>
        <w:t xml:space="preserve">“dando pretexto ao narrador para a crítica política” </w:t>
      </w:r>
      <w:r w:rsidRPr="00BC68F9">
        <w:rPr>
          <w:rFonts w:cs="Arial"/>
          <w:color w:val="5F6062"/>
          <w:sz w:val="16"/>
          <w:szCs w:val="17"/>
        </w:rPr>
        <w:t>(l. 9)</w:t>
      </w:r>
      <w:r w:rsidRPr="00BC68F9">
        <w:rPr>
          <w:rFonts w:cs="Arial"/>
          <w:szCs w:val="23"/>
        </w:rPr>
        <w:t xml:space="preserve">, o constituinte </w:t>
      </w:r>
      <w:r w:rsidRPr="00BC68F9">
        <w:rPr>
          <w:rFonts w:cs="Arial"/>
          <w:i/>
          <w:iCs/>
          <w:szCs w:val="23"/>
        </w:rPr>
        <w:t xml:space="preserve">“ao narrador” </w:t>
      </w:r>
      <w:r w:rsidRPr="00BC68F9">
        <w:rPr>
          <w:rFonts w:cs="Arial"/>
          <w:szCs w:val="23"/>
        </w:rPr>
        <w:t xml:space="preserve">desempenha a função sintática </w:t>
      </w:r>
      <w:proofErr w:type="gramStart"/>
      <w:r w:rsidRPr="00BC68F9">
        <w:rPr>
          <w:rFonts w:cs="Arial"/>
          <w:szCs w:val="23"/>
        </w:rPr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707"/>
      </w:tblGrid>
      <w:tr w:rsidR="000B6049" w:rsidTr="00BC68F9">
        <w:tc>
          <w:tcPr>
            <w:tcW w:w="4503" w:type="dxa"/>
          </w:tcPr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  <w:rPr>
                <w:rFonts w:cs="Arial"/>
                <w:szCs w:val="23"/>
              </w:rPr>
            </w:pPr>
            <w:proofErr w:type="gramStart"/>
            <w:r w:rsidRPr="00BC68F9">
              <w:rPr>
                <w:rFonts w:cs="Arial"/>
                <w:szCs w:val="23"/>
              </w:rPr>
              <w:t>modificador</w:t>
            </w:r>
            <w:proofErr w:type="gramEnd"/>
            <w:r w:rsidRPr="00BC68F9">
              <w:rPr>
                <w:rFonts w:cs="Arial"/>
                <w:szCs w:val="23"/>
              </w:rPr>
              <w:t xml:space="preserve"> frásico.</w:t>
            </w:r>
          </w:p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complemento</w:t>
            </w:r>
            <w:proofErr w:type="gramEnd"/>
            <w:r w:rsidRPr="00BC68F9">
              <w:rPr>
                <w:rFonts w:cs="Arial"/>
                <w:szCs w:val="23"/>
              </w:rPr>
              <w:t xml:space="preserve"> direto.</w:t>
            </w:r>
          </w:p>
        </w:tc>
        <w:tc>
          <w:tcPr>
            <w:tcW w:w="4707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sujeito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complemento</w:t>
            </w:r>
            <w:proofErr w:type="gramEnd"/>
            <w:r w:rsidRPr="00BC68F9">
              <w:rPr>
                <w:rFonts w:cs="Arial"/>
                <w:szCs w:val="23"/>
              </w:rPr>
              <w:t xml:space="preserve"> indireto.</w:t>
            </w:r>
          </w:p>
        </w:tc>
      </w:tr>
    </w:tbl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No segmento </w:t>
      </w:r>
      <w:r w:rsidRPr="00BC68F9">
        <w:rPr>
          <w:rFonts w:cs="Arial"/>
          <w:i/>
          <w:iCs/>
          <w:szCs w:val="23"/>
        </w:rPr>
        <w:t xml:space="preserve">“da qual sai maneta” </w:t>
      </w:r>
      <w:r w:rsidRPr="00BC68F9">
        <w:rPr>
          <w:rFonts w:cs="Arial"/>
          <w:color w:val="5F6062"/>
          <w:sz w:val="16"/>
          <w:szCs w:val="17"/>
        </w:rPr>
        <w:t>(</w:t>
      </w:r>
      <w:proofErr w:type="spellStart"/>
      <w:r w:rsidRPr="00BC68F9">
        <w:rPr>
          <w:rFonts w:cs="Arial"/>
          <w:color w:val="5F6062"/>
          <w:sz w:val="16"/>
          <w:szCs w:val="17"/>
        </w:rPr>
        <w:t>ll</w:t>
      </w:r>
      <w:proofErr w:type="spellEnd"/>
      <w:r w:rsidRPr="00BC68F9">
        <w:rPr>
          <w:rFonts w:cs="Arial"/>
          <w:color w:val="5F6062"/>
          <w:sz w:val="16"/>
          <w:szCs w:val="17"/>
        </w:rPr>
        <w:t xml:space="preserve">. 8-9) </w:t>
      </w:r>
      <w:r w:rsidRPr="00BC68F9">
        <w:rPr>
          <w:rFonts w:cs="Arial"/>
          <w:szCs w:val="23"/>
        </w:rPr>
        <w:t xml:space="preserve">o referente </w:t>
      </w:r>
      <w:proofErr w:type="gramStart"/>
      <w:r w:rsidRPr="00BC68F9">
        <w:rPr>
          <w:rFonts w:cs="Arial"/>
          <w:szCs w:val="23"/>
        </w:rPr>
        <w:t xml:space="preserve">de </w:t>
      </w:r>
      <w:r w:rsidRPr="00BC68F9">
        <w:rPr>
          <w:rFonts w:cs="Arial"/>
          <w:i/>
          <w:iCs/>
          <w:szCs w:val="23"/>
        </w:rPr>
        <w:t>“da</w:t>
      </w:r>
      <w:proofErr w:type="gramEnd"/>
      <w:r w:rsidRPr="00BC68F9">
        <w:rPr>
          <w:rFonts w:cs="Arial"/>
          <w:i/>
          <w:iCs/>
          <w:szCs w:val="23"/>
        </w:rPr>
        <w:t xml:space="preserve"> qual” </w:t>
      </w:r>
      <w:r w:rsidRPr="00BC68F9">
        <w:rPr>
          <w:rFonts w:cs="Arial"/>
          <w:szCs w:val="23"/>
        </w:rPr>
        <w:t>é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707"/>
      </w:tblGrid>
      <w:tr w:rsidR="000B6049" w:rsidTr="00BC68F9">
        <w:tc>
          <w:tcPr>
            <w:tcW w:w="4503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</w:pPr>
            <w:r w:rsidRPr="00BC68F9">
              <w:rPr>
                <w:rFonts w:cs="Arial"/>
                <w:i/>
                <w:iCs/>
                <w:szCs w:val="23"/>
              </w:rPr>
              <w:t>“</w:t>
            </w:r>
            <w:proofErr w:type="gramStart"/>
            <w:r w:rsidRPr="00BC68F9">
              <w:rPr>
                <w:rFonts w:cs="Arial"/>
                <w:i/>
                <w:iCs/>
                <w:szCs w:val="23"/>
              </w:rPr>
              <w:t>guerra</w:t>
            </w:r>
            <w:proofErr w:type="gramEnd"/>
            <w:r w:rsidRPr="00BC68F9">
              <w:rPr>
                <w:rFonts w:cs="Arial"/>
                <w:i/>
                <w:iCs/>
                <w:szCs w:val="23"/>
              </w:rPr>
              <w:t>”</w:t>
            </w:r>
            <w:r w:rsidRPr="00BC68F9">
              <w:rPr>
                <w:rFonts w:cs="Arial"/>
                <w:szCs w:val="23"/>
              </w:rPr>
              <w:t xml:space="preserve"> </w:t>
            </w:r>
            <w:r w:rsidRPr="00BC68F9">
              <w:rPr>
                <w:rFonts w:cs="Arial"/>
                <w:color w:val="5F6062"/>
                <w:sz w:val="16"/>
                <w:szCs w:val="17"/>
              </w:rPr>
              <w:t>(l. 8)</w:t>
            </w:r>
            <w:r w:rsidRPr="00BC68F9">
              <w:rPr>
                <w:rFonts w:cs="Arial"/>
                <w:szCs w:val="23"/>
              </w:rPr>
              <w:t>.</w:t>
            </w:r>
          </w:p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</w:pPr>
            <w:r w:rsidRPr="00BC68F9">
              <w:rPr>
                <w:rFonts w:cs="Arial"/>
                <w:i/>
                <w:iCs/>
                <w:szCs w:val="23"/>
              </w:rPr>
              <w:t>“</w:t>
            </w:r>
            <w:proofErr w:type="gramStart"/>
            <w:r w:rsidRPr="00BC68F9">
              <w:rPr>
                <w:rFonts w:cs="Arial"/>
                <w:i/>
                <w:iCs/>
                <w:szCs w:val="23"/>
              </w:rPr>
              <w:t>sucessão</w:t>
            </w:r>
            <w:proofErr w:type="gramEnd"/>
            <w:r w:rsidRPr="00BC68F9">
              <w:rPr>
                <w:rFonts w:cs="Arial"/>
                <w:i/>
                <w:iCs/>
                <w:szCs w:val="23"/>
              </w:rPr>
              <w:t xml:space="preserve"> espanhola”</w:t>
            </w:r>
            <w:r w:rsidRPr="00BC68F9">
              <w:rPr>
                <w:rFonts w:cs="Arial"/>
                <w:szCs w:val="23"/>
              </w:rPr>
              <w:t xml:space="preserve"> </w:t>
            </w:r>
            <w:r w:rsidRPr="00BC68F9">
              <w:rPr>
                <w:rFonts w:cs="Arial"/>
                <w:color w:val="5F6062"/>
                <w:sz w:val="16"/>
                <w:szCs w:val="17"/>
              </w:rPr>
              <w:t>(l. 8)</w:t>
            </w:r>
            <w:r w:rsidRPr="00BC68F9">
              <w:rPr>
                <w:rFonts w:cs="Arial"/>
                <w:szCs w:val="23"/>
              </w:rPr>
              <w:t>.</w:t>
            </w:r>
          </w:p>
        </w:tc>
        <w:tc>
          <w:tcPr>
            <w:tcW w:w="4707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r w:rsidRPr="00BC68F9">
              <w:rPr>
                <w:rFonts w:cs="Arial"/>
                <w:i/>
                <w:iCs/>
                <w:szCs w:val="23"/>
              </w:rPr>
              <w:t>“</w:t>
            </w:r>
            <w:proofErr w:type="gramStart"/>
            <w:r w:rsidRPr="00BC68F9">
              <w:rPr>
                <w:rFonts w:cs="Arial"/>
                <w:i/>
                <w:iCs/>
                <w:szCs w:val="23"/>
              </w:rPr>
              <w:t>guerra</w:t>
            </w:r>
            <w:proofErr w:type="gramEnd"/>
            <w:r w:rsidRPr="00BC68F9">
              <w:rPr>
                <w:rFonts w:cs="Arial"/>
                <w:i/>
                <w:iCs/>
                <w:szCs w:val="23"/>
              </w:rPr>
              <w:t xml:space="preserve"> da sucessão espanhola”</w:t>
            </w:r>
            <w:r w:rsidRPr="00BC68F9">
              <w:rPr>
                <w:rFonts w:cs="Arial"/>
                <w:szCs w:val="23"/>
              </w:rPr>
              <w:t xml:space="preserve"> </w:t>
            </w:r>
            <w:r w:rsidRPr="00BC68F9">
              <w:rPr>
                <w:rFonts w:cs="Arial"/>
                <w:color w:val="5F6062"/>
                <w:sz w:val="16"/>
                <w:szCs w:val="17"/>
              </w:rPr>
              <w:t>(l. 8)</w:t>
            </w:r>
            <w:r w:rsidRPr="00BC68F9">
              <w:rPr>
                <w:rFonts w:cs="Arial"/>
                <w:szCs w:val="23"/>
              </w:rPr>
              <w:t>.</w:t>
            </w:r>
          </w:p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r w:rsidRPr="00BC68F9">
              <w:rPr>
                <w:rFonts w:cs="Arial"/>
                <w:i/>
                <w:iCs/>
                <w:szCs w:val="23"/>
              </w:rPr>
              <w:t>“</w:t>
            </w:r>
            <w:proofErr w:type="gramStart"/>
            <w:r w:rsidRPr="00BC68F9">
              <w:rPr>
                <w:rFonts w:cs="Arial"/>
                <w:i/>
                <w:iCs/>
                <w:szCs w:val="23"/>
              </w:rPr>
              <w:t>construção</w:t>
            </w:r>
            <w:proofErr w:type="gramEnd"/>
            <w:r w:rsidRPr="00BC68F9">
              <w:rPr>
                <w:rFonts w:cs="Arial"/>
                <w:i/>
                <w:iCs/>
                <w:szCs w:val="23"/>
              </w:rPr>
              <w:t xml:space="preserve"> da máquina voadora”</w:t>
            </w:r>
            <w:r w:rsidRPr="00BC68F9">
              <w:rPr>
                <w:rFonts w:cs="Arial"/>
                <w:szCs w:val="23"/>
              </w:rPr>
              <w:t xml:space="preserve"> </w:t>
            </w:r>
            <w:r w:rsidRPr="00BC68F9">
              <w:rPr>
                <w:rFonts w:cs="Arial"/>
                <w:color w:val="5F6062"/>
                <w:sz w:val="16"/>
                <w:szCs w:val="17"/>
              </w:rPr>
              <w:t>(</w:t>
            </w:r>
            <w:proofErr w:type="spellStart"/>
            <w:r w:rsidRPr="00BC68F9">
              <w:rPr>
                <w:rFonts w:cs="Arial"/>
                <w:color w:val="5F6062"/>
                <w:sz w:val="16"/>
                <w:szCs w:val="17"/>
              </w:rPr>
              <w:t>ll</w:t>
            </w:r>
            <w:proofErr w:type="spellEnd"/>
            <w:r w:rsidRPr="00BC68F9">
              <w:rPr>
                <w:rFonts w:cs="Arial"/>
                <w:color w:val="5F6062"/>
                <w:sz w:val="16"/>
                <w:szCs w:val="17"/>
              </w:rPr>
              <w:t>. 9-10)</w:t>
            </w:r>
            <w:r w:rsidRPr="00BC68F9">
              <w:rPr>
                <w:rFonts w:cs="Arial"/>
                <w:szCs w:val="23"/>
              </w:rPr>
              <w:t>.</w:t>
            </w:r>
          </w:p>
        </w:tc>
      </w:tr>
    </w:tbl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A expressão </w:t>
      </w:r>
      <w:r w:rsidRPr="00BC68F9">
        <w:rPr>
          <w:rFonts w:cs="Arial"/>
          <w:i/>
          <w:iCs/>
          <w:szCs w:val="23"/>
        </w:rPr>
        <w:t xml:space="preserve">“Heróis do pé descalço” </w:t>
      </w:r>
      <w:r w:rsidRPr="00BC68F9">
        <w:rPr>
          <w:rFonts w:cs="Arial"/>
          <w:color w:val="5F6062"/>
          <w:sz w:val="16"/>
          <w:szCs w:val="17"/>
        </w:rPr>
        <w:t xml:space="preserve">(l. 17 e 38) </w:t>
      </w:r>
      <w:r w:rsidRPr="00BC68F9">
        <w:rPr>
          <w:rFonts w:cs="Arial"/>
          <w:szCs w:val="23"/>
        </w:rPr>
        <w:t>significa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707"/>
      </w:tblGrid>
      <w:tr w:rsidR="000B6049" w:rsidTr="00BC68F9">
        <w:tc>
          <w:tcPr>
            <w:tcW w:w="4503" w:type="dxa"/>
          </w:tcPr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  <w:rPr>
                <w:rFonts w:cs="Arial"/>
                <w:color w:val="000000"/>
              </w:rPr>
            </w:pPr>
            <w:r w:rsidRPr="00BC68F9">
              <w:rPr>
                <w:rFonts w:cs="Arial"/>
                <w:szCs w:val="23"/>
              </w:rPr>
              <w:t>Heróis sem recursos financeiros.</w:t>
            </w:r>
          </w:p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  <w:rPr>
                <w:rFonts w:cs="Arial"/>
                <w:color w:val="000000"/>
              </w:rPr>
            </w:pPr>
            <w:r w:rsidRPr="00BC68F9">
              <w:rPr>
                <w:rFonts w:cs="Arial"/>
                <w:szCs w:val="23"/>
              </w:rPr>
              <w:t>Heróis sem sapatos.</w:t>
            </w:r>
          </w:p>
        </w:tc>
        <w:tc>
          <w:tcPr>
            <w:tcW w:w="4707" w:type="dxa"/>
          </w:tcPr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  <w:rPr>
                <w:rFonts w:cs="Arial"/>
                <w:color w:val="000000"/>
              </w:rPr>
            </w:pPr>
            <w:r w:rsidRPr="00BC68F9">
              <w:rPr>
                <w:rFonts w:cs="Arial"/>
                <w:szCs w:val="23"/>
              </w:rPr>
              <w:t>Heróis caminhantes.</w:t>
            </w:r>
          </w:p>
          <w:p w:rsidR="000B6049" w:rsidRPr="00BC68F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  <w:rPr>
                <w:rFonts w:cs="Arial"/>
                <w:color w:val="000000"/>
              </w:rPr>
            </w:pPr>
            <w:r w:rsidRPr="00BC68F9">
              <w:rPr>
                <w:rFonts w:cs="Arial"/>
                <w:szCs w:val="23"/>
              </w:rPr>
              <w:t>Heróis extravagantes.</w:t>
            </w:r>
          </w:p>
        </w:tc>
      </w:tr>
    </w:tbl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O recurso ao vocábulo de cariz religioso </w:t>
      </w:r>
      <w:r w:rsidRPr="00BC68F9">
        <w:rPr>
          <w:rFonts w:cs="Arial"/>
          <w:i/>
          <w:iCs/>
          <w:szCs w:val="23"/>
        </w:rPr>
        <w:t xml:space="preserve">“via-sacra” </w:t>
      </w:r>
      <w:r w:rsidRPr="00BC68F9">
        <w:rPr>
          <w:rFonts w:cs="Arial"/>
          <w:color w:val="5F6062"/>
          <w:sz w:val="16"/>
          <w:szCs w:val="17"/>
        </w:rPr>
        <w:t xml:space="preserve">(l. 26) </w:t>
      </w:r>
      <w:r w:rsidRPr="00BC68F9">
        <w:rPr>
          <w:rFonts w:cs="Arial"/>
          <w:szCs w:val="23"/>
        </w:rPr>
        <w:t>salienta</w:t>
      </w:r>
    </w:p>
    <w:p w:rsidR="000B6049" w:rsidRPr="00BC68F9" w:rsidRDefault="000B6049" w:rsidP="00C8466E">
      <w:pPr>
        <w:pStyle w:val="ListParagraph"/>
        <w:numPr>
          <w:ilvl w:val="2"/>
          <w:numId w:val="16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BC68F9">
        <w:rPr>
          <w:rFonts w:cs="Arial"/>
          <w:szCs w:val="23"/>
        </w:rPr>
        <w:t>o</w:t>
      </w:r>
      <w:proofErr w:type="gramEnd"/>
      <w:r w:rsidRPr="00BC68F9">
        <w:rPr>
          <w:rFonts w:cs="Arial"/>
          <w:szCs w:val="23"/>
        </w:rPr>
        <w:t xml:space="preserve"> sofrimento de Blimunda em busca de Baltasar.</w:t>
      </w:r>
    </w:p>
    <w:p w:rsidR="000B6049" w:rsidRPr="00BC68F9" w:rsidRDefault="000B6049" w:rsidP="00C8466E">
      <w:pPr>
        <w:pStyle w:val="ListParagraph"/>
        <w:numPr>
          <w:ilvl w:val="2"/>
          <w:numId w:val="16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BC68F9">
        <w:rPr>
          <w:rFonts w:cs="Arial"/>
          <w:szCs w:val="23"/>
        </w:rPr>
        <w:t>o</w:t>
      </w:r>
      <w:proofErr w:type="gramEnd"/>
      <w:r w:rsidRPr="00BC68F9">
        <w:rPr>
          <w:rFonts w:cs="Arial"/>
          <w:szCs w:val="23"/>
        </w:rPr>
        <w:t xml:space="preserve"> sacrifício de Baltasar. </w:t>
      </w:r>
      <w:r w:rsidRPr="00BC68F9">
        <w:rPr>
          <w:rFonts w:cs="Arial"/>
          <w:szCs w:val="23"/>
        </w:rPr>
        <w:tab/>
        <w:t xml:space="preserve"> </w:t>
      </w:r>
    </w:p>
    <w:p w:rsidR="000B6049" w:rsidRPr="00BC68F9" w:rsidRDefault="000B6049" w:rsidP="00C8466E">
      <w:pPr>
        <w:pStyle w:val="ListParagraph"/>
        <w:numPr>
          <w:ilvl w:val="2"/>
          <w:numId w:val="16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BC68F9">
        <w:rPr>
          <w:rFonts w:cs="Arial"/>
          <w:szCs w:val="23"/>
        </w:rPr>
        <w:t>os</w:t>
      </w:r>
      <w:proofErr w:type="gramEnd"/>
      <w:r w:rsidRPr="00BC68F9">
        <w:rPr>
          <w:rFonts w:cs="Arial"/>
          <w:szCs w:val="23"/>
        </w:rPr>
        <w:t xml:space="preserve"> meios de procura utilizados por Blimunda durante a sua viagem.</w:t>
      </w:r>
    </w:p>
    <w:p w:rsidR="000B6049" w:rsidRPr="00BC68F9" w:rsidRDefault="000B6049" w:rsidP="00C8466E">
      <w:pPr>
        <w:pStyle w:val="ListParagraph"/>
        <w:numPr>
          <w:ilvl w:val="2"/>
          <w:numId w:val="16"/>
        </w:numPr>
        <w:ind w:left="1168" w:hanging="374"/>
        <w:contextualSpacing w:val="0"/>
        <w:rPr>
          <w:rFonts w:cs="Arial"/>
          <w:szCs w:val="23"/>
        </w:rPr>
      </w:pPr>
      <w:proofErr w:type="gramStart"/>
      <w:r w:rsidRPr="00BC68F9">
        <w:rPr>
          <w:rFonts w:cs="Arial"/>
          <w:szCs w:val="23"/>
        </w:rPr>
        <w:t>o</w:t>
      </w:r>
      <w:proofErr w:type="gramEnd"/>
      <w:r w:rsidRPr="00BC68F9">
        <w:rPr>
          <w:rFonts w:cs="Arial"/>
          <w:szCs w:val="23"/>
        </w:rPr>
        <w:t xml:space="preserve"> carácter inconstante e débil de Blimunda.</w:t>
      </w:r>
    </w:p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>
        <w:t xml:space="preserve">Os </w:t>
      </w:r>
      <w:r w:rsidRPr="00BC68F9">
        <w:rPr>
          <w:rFonts w:cs="Arial"/>
          <w:szCs w:val="23"/>
        </w:rPr>
        <w:t xml:space="preserve">adjetivos presentes na passagem </w:t>
      </w:r>
      <w:r w:rsidRPr="00BC68F9">
        <w:rPr>
          <w:rFonts w:cs="Arial"/>
          <w:i/>
          <w:iCs/>
          <w:szCs w:val="23"/>
        </w:rPr>
        <w:t xml:space="preserve">“uma história invulgar ou insólita, de personagens modeladas ou redondas.” </w:t>
      </w:r>
      <w:r w:rsidRPr="00BC68F9">
        <w:rPr>
          <w:rFonts w:cs="Arial"/>
          <w:color w:val="5F6062"/>
          <w:sz w:val="16"/>
          <w:szCs w:val="17"/>
        </w:rPr>
        <w:t xml:space="preserve">(l. 29) </w:t>
      </w:r>
      <w:proofErr w:type="gramStart"/>
      <w:r w:rsidRPr="00BC68F9">
        <w:rPr>
          <w:rFonts w:cs="Arial"/>
          <w:szCs w:val="23"/>
        </w:rPr>
        <w:t>possuem</w:t>
      </w:r>
      <w:proofErr w:type="gramEnd"/>
      <w:r w:rsidRPr="00BC68F9">
        <w:rPr>
          <w:rFonts w:cs="Arial"/>
          <w:szCs w:val="23"/>
        </w:rPr>
        <w:t xml:space="preserve"> um valor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126"/>
        <w:gridCol w:w="1985"/>
        <w:gridCol w:w="2090"/>
      </w:tblGrid>
      <w:tr w:rsidR="000B6049" w:rsidTr="00BC68F9">
        <w:tc>
          <w:tcPr>
            <w:tcW w:w="3085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1168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exemplificativo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</w:tc>
        <w:tc>
          <w:tcPr>
            <w:tcW w:w="2126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restritivo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</w:tc>
        <w:tc>
          <w:tcPr>
            <w:tcW w:w="1985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explicativo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</w:tc>
        <w:tc>
          <w:tcPr>
            <w:tcW w:w="2090" w:type="dxa"/>
          </w:tcPr>
          <w:p w:rsidR="000B6049" w:rsidRDefault="000B6049" w:rsidP="00C8466E">
            <w:pPr>
              <w:pStyle w:val="ListParagraph"/>
              <w:numPr>
                <w:ilvl w:val="2"/>
                <w:numId w:val="16"/>
              </w:numPr>
              <w:ind w:left="374" w:hanging="374"/>
              <w:contextualSpacing w:val="0"/>
            </w:pPr>
            <w:proofErr w:type="gramStart"/>
            <w:r w:rsidRPr="00BC68F9">
              <w:rPr>
                <w:rFonts w:cs="Arial"/>
                <w:szCs w:val="23"/>
              </w:rPr>
              <w:t>conclusivo</w:t>
            </w:r>
            <w:proofErr w:type="gramEnd"/>
            <w:r w:rsidRPr="00BC68F9">
              <w:rPr>
                <w:rFonts w:cs="Arial"/>
                <w:szCs w:val="23"/>
              </w:rPr>
              <w:t>.</w:t>
            </w:r>
          </w:p>
        </w:tc>
      </w:tr>
    </w:tbl>
    <w:p w:rsidR="000B6049" w:rsidRPr="00BC68F9" w:rsidRDefault="000B6049" w:rsidP="00C8466E">
      <w:pPr>
        <w:pStyle w:val="ListParagraph"/>
        <w:numPr>
          <w:ilvl w:val="0"/>
          <w:numId w:val="16"/>
        </w:numPr>
        <w:spacing w:before="240"/>
        <w:ind w:left="357" w:hanging="357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>Responde de forma correta aos itens apresentados.</w:t>
      </w:r>
    </w:p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120"/>
        <w:ind w:left="788" w:hanging="431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Identifica o ato ilocutório concretizado no sexto parágrafo </w:t>
      </w:r>
      <w:r w:rsidRPr="00BC68F9">
        <w:rPr>
          <w:rFonts w:cs="Arial"/>
          <w:color w:val="5F6062"/>
          <w:sz w:val="16"/>
          <w:szCs w:val="17"/>
        </w:rPr>
        <w:t>(</w:t>
      </w:r>
      <w:proofErr w:type="spellStart"/>
      <w:r w:rsidRPr="00BC68F9">
        <w:rPr>
          <w:rFonts w:cs="Arial"/>
          <w:color w:val="5F6062"/>
          <w:sz w:val="16"/>
          <w:szCs w:val="17"/>
        </w:rPr>
        <w:t>ll</w:t>
      </w:r>
      <w:proofErr w:type="spellEnd"/>
      <w:r w:rsidRPr="00BC68F9">
        <w:rPr>
          <w:rFonts w:cs="Arial"/>
          <w:color w:val="5F6062"/>
          <w:sz w:val="16"/>
          <w:szCs w:val="17"/>
        </w:rPr>
        <w:t>. 20-21)</w:t>
      </w:r>
      <w:r w:rsidRPr="00BC68F9">
        <w:rPr>
          <w:rFonts w:cs="Arial"/>
          <w:szCs w:val="23"/>
        </w:rPr>
        <w:t>.</w:t>
      </w:r>
    </w:p>
    <w:p w:rsidR="000B6049" w:rsidRPr="00BC68F9" w:rsidRDefault="000B6049" w:rsidP="00C8466E">
      <w:pPr>
        <w:pStyle w:val="ListParagraph"/>
        <w:numPr>
          <w:ilvl w:val="1"/>
          <w:numId w:val="16"/>
        </w:numPr>
        <w:spacing w:before="120"/>
        <w:ind w:left="788" w:hanging="431"/>
        <w:contextualSpacing w:val="0"/>
        <w:rPr>
          <w:rFonts w:cs="Arial"/>
          <w:color w:val="000000"/>
          <w:szCs w:val="23"/>
        </w:rPr>
      </w:pPr>
      <w:r w:rsidRPr="00BC68F9">
        <w:rPr>
          <w:rFonts w:cs="Arial"/>
          <w:szCs w:val="23"/>
        </w:rPr>
        <w:t xml:space="preserve">Indica o antecedente de </w:t>
      </w:r>
      <w:r w:rsidRPr="00BC68F9">
        <w:rPr>
          <w:rFonts w:cs="Arial"/>
          <w:i/>
          <w:iCs/>
          <w:szCs w:val="23"/>
        </w:rPr>
        <w:t>“esta”</w:t>
      </w:r>
      <w:r w:rsidRPr="00BC68F9">
        <w:rPr>
          <w:rFonts w:cs="Arial"/>
          <w:szCs w:val="23"/>
        </w:rPr>
        <w:t>, usado na linha 23.</w:t>
      </w:r>
    </w:p>
    <w:p w:rsidR="000B6049" w:rsidRPr="000F7138" w:rsidRDefault="000B6049" w:rsidP="00C8466E">
      <w:pPr>
        <w:pStyle w:val="ListParagraph"/>
        <w:numPr>
          <w:ilvl w:val="1"/>
          <w:numId w:val="16"/>
        </w:numPr>
        <w:spacing w:before="120"/>
        <w:ind w:left="788" w:hanging="431"/>
        <w:contextualSpacing w:val="0"/>
      </w:pPr>
      <w:r w:rsidRPr="003912CD">
        <w:rPr>
          <w:rFonts w:cs="Arial"/>
          <w:szCs w:val="23"/>
        </w:rPr>
        <w:t xml:space="preserve">Refere o valor da referência deítica </w:t>
      </w:r>
      <w:r w:rsidRPr="003912CD">
        <w:rPr>
          <w:rFonts w:cs="Arial"/>
          <w:i/>
          <w:iCs/>
          <w:szCs w:val="23"/>
        </w:rPr>
        <w:t xml:space="preserve">“No último auto de fé” </w:t>
      </w:r>
      <w:r w:rsidRPr="003912CD">
        <w:rPr>
          <w:rFonts w:cs="Arial"/>
          <w:color w:val="5F6062"/>
          <w:sz w:val="16"/>
          <w:szCs w:val="17"/>
        </w:rPr>
        <w:t>(l. 25)</w:t>
      </w:r>
      <w:r w:rsidRPr="003912CD">
        <w:rPr>
          <w:rFonts w:cs="Arial"/>
          <w:szCs w:val="23"/>
        </w:rPr>
        <w:t>.</w:t>
      </w:r>
    </w:p>
    <w:sectPr w:rsidR="000B6049" w:rsidRPr="000F7138" w:rsidSect="001E4E2E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8E" w:rsidRDefault="00C8548E" w:rsidP="00050077">
      <w:pPr>
        <w:spacing w:after="0" w:line="240" w:lineRule="auto"/>
      </w:pPr>
      <w:r>
        <w:separator/>
      </w:r>
    </w:p>
  </w:endnote>
  <w:end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D13996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1E4E2E" w:rsidRPr="001E4E2E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D13996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133E21" wp14:editId="1D433F9F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6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6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6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6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7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7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7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8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8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8E" w:rsidRDefault="00C8548E" w:rsidP="00050077">
      <w:pPr>
        <w:spacing w:after="0" w:line="240" w:lineRule="auto"/>
      </w:pPr>
      <w:r>
        <w:separator/>
      </w:r>
    </w:p>
  </w:footnote>
  <w:foot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6B1315" wp14:editId="0EC7BFBC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9484D">
      <w:rPr>
        <w:b/>
        <w:noProof/>
        <w:color w:val="58585A"/>
        <w:lang w:val="cs-CZ" w:eastAsia="cs-CZ"/>
      </w:rPr>
      <w:t>Fichas de trabalho sobre textos informativos do manual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216FE0"/>
    <w:multiLevelType w:val="hybridMultilevel"/>
    <w:tmpl w:val="7BE69A70"/>
    <w:lvl w:ilvl="0" w:tplc="E7C27EA6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6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9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21504"/>
    <w:rsid w:val="0002339F"/>
    <w:rsid w:val="0002707E"/>
    <w:rsid w:val="00027236"/>
    <w:rsid w:val="00046DEC"/>
    <w:rsid w:val="00050077"/>
    <w:rsid w:val="00085CD2"/>
    <w:rsid w:val="000B6049"/>
    <w:rsid w:val="000E23D0"/>
    <w:rsid w:val="000F7138"/>
    <w:rsid w:val="0011257D"/>
    <w:rsid w:val="001815D9"/>
    <w:rsid w:val="00192FC9"/>
    <w:rsid w:val="001C7876"/>
    <w:rsid w:val="001E4E2E"/>
    <w:rsid w:val="0021242A"/>
    <w:rsid w:val="002235ED"/>
    <w:rsid w:val="002641BE"/>
    <w:rsid w:val="00284D65"/>
    <w:rsid w:val="002968DB"/>
    <w:rsid w:val="002E7D53"/>
    <w:rsid w:val="00301623"/>
    <w:rsid w:val="00333FBC"/>
    <w:rsid w:val="00351BBA"/>
    <w:rsid w:val="0036022D"/>
    <w:rsid w:val="0038073E"/>
    <w:rsid w:val="00387D17"/>
    <w:rsid w:val="003912CD"/>
    <w:rsid w:val="003C3084"/>
    <w:rsid w:val="003C566F"/>
    <w:rsid w:val="00421385"/>
    <w:rsid w:val="00426AC2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B023A"/>
    <w:rsid w:val="005C6DB5"/>
    <w:rsid w:val="005E2C6F"/>
    <w:rsid w:val="005F562B"/>
    <w:rsid w:val="00607C71"/>
    <w:rsid w:val="0064138B"/>
    <w:rsid w:val="00655AB4"/>
    <w:rsid w:val="00667D1D"/>
    <w:rsid w:val="006F39DE"/>
    <w:rsid w:val="0070762D"/>
    <w:rsid w:val="0071334A"/>
    <w:rsid w:val="00782737"/>
    <w:rsid w:val="00790340"/>
    <w:rsid w:val="007A1244"/>
    <w:rsid w:val="007B1973"/>
    <w:rsid w:val="007B3915"/>
    <w:rsid w:val="007B4611"/>
    <w:rsid w:val="007C333C"/>
    <w:rsid w:val="007C40FE"/>
    <w:rsid w:val="007D5D5D"/>
    <w:rsid w:val="00830F86"/>
    <w:rsid w:val="009002A8"/>
    <w:rsid w:val="00905EFE"/>
    <w:rsid w:val="00911E23"/>
    <w:rsid w:val="00925171"/>
    <w:rsid w:val="00937838"/>
    <w:rsid w:val="009439A8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641F"/>
    <w:rsid w:val="00AE0DE9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8548E"/>
    <w:rsid w:val="00CD605C"/>
    <w:rsid w:val="00CE7A7D"/>
    <w:rsid w:val="00D13996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E2B75"/>
    <w:rsid w:val="00EF33BD"/>
    <w:rsid w:val="00F17700"/>
    <w:rsid w:val="00F247E1"/>
    <w:rsid w:val="00F30D4B"/>
    <w:rsid w:val="00F349D1"/>
    <w:rsid w:val="00F42593"/>
    <w:rsid w:val="00F70617"/>
    <w:rsid w:val="00F805A2"/>
    <w:rsid w:val="00F922ED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121</cp:revision>
  <dcterms:created xsi:type="dcterms:W3CDTF">2012-04-24T17:08:00Z</dcterms:created>
  <dcterms:modified xsi:type="dcterms:W3CDTF">2012-05-17T16:08:00Z</dcterms:modified>
</cp:coreProperties>
</file>