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01357E" w:rsidTr="0001357E">
        <w:tc>
          <w:tcPr>
            <w:tcW w:w="4605" w:type="dxa"/>
          </w:tcPr>
          <w:p w:rsidR="0001357E" w:rsidRPr="0001357E" w:rsidRDefault="0001357E" w:rsidP="0001357E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01357E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6</w:t>
            </w:r>
            <w:r w:rsidRPr="0001357E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59</w:t>
            </w: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01357E" w:rsidRPr="003052FF" w:rsidRDefault="0001357E" w:rsidP="00967BE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excerto revela uma crítica à situação política nacional sob o comando da junta de regência, em que um dos membros, Beresford, reconhece como único interesse o seu próprio crescimento económico. D. Miguel alude à necessidade de reprimir os ideais divulgados pela revolução francesa, evidenciando o conservadorismo e a preocupação em manter o absolutismo como regime em Portugal, recorrendo, se necessário, à repressão, como o próprio assume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19-24). Ao longo do diálogo entre os governadores é ainda feita alusão ao papel dos delatores, membros de classes sociais inferiores mas ambiciosos a ponto de se “venderem” ao poder, conforme ironiza Beresford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40-42).</w:t>
            </w:r>
          </w:p>
          <w:p w:rsidR="0001357E" w:rsidRPr="003052FF" w:rsidRDefault="0001357E" w:rsidP="00967BE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Beresford aproxima metaforicamente a conjura de um disparo de espingarda; liga-os o facto de, uma vez iniciados, não se poderem travar. Com a aproximação, o governador inglês chama a atenção dos restantes membros do triunvirato do poder para a iminência de uma revolução, uma vez que da mesma circulavam já rumores, ou seja, já se teria carregado no “gatilho” e não haveria ação preventiva que impedisse a sua concretização, pelo que lhes restava refletir sobre a reação.</w:t>
            </w:r>
          </w:p>
          <w:p w:rsidR="00BF3CC9" w:rsidRDefault="0001357E" w:rsidP="00BF3CC9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b/>
                <w:bCs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D. Miguel utiliza uma linguagem que expressa nitidamente os seus valores absolutistas e a necessidade de agir por todos os meios e sem quaisquer restrições de escrúpulos contra quem os enfrente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18-24). O principal Sousa, ainda que servindo-se de uma retórica religiosa, expressa através dela a sua natureza hipócrita e pouco conscienciosa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29-31). Beresford pauta o seu discurso por um tom divertido e irónico, menosprezando</w:t>
            </w:r>
            <w:r w:rsidR="00BF3CC9" w:rsidRPr="003052FF">
              <w:rPr>
                <w:rFonts w:cs="Arial"/>
                <w:sz w:val="16"/>
                <w:szCs w:val="17"/>
              </w:rPr>
              <w:t xml:space="preserve"> </w:t>
            </w:r>
            <w:r w:rsidR="00BF3CC9" w:rsidRPr="003052FF">
              <w:rPr>
                <w:rFonts w:cs="Arial"/>
                <w:sz w:val="16"/>
                <w:szCs w:val="17"/>
              </w:rPr>
              <w:t>quer os restantes governadores quer os delatores, ambos como representantes da mentalidade portuguesa, que despreza (</w:t>
            </w:r>
            <w:proofErr w:type="spellStart"/>
            <w:r w:rsidR="00BF3CC9"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="00BF3CC9" w:rsidRPr="003052FF">
              <w:rPr>
                <w:rFonts w:cs="Arial"/>
                <w:sz w:val="16"/>
                <w:szCs w:val="17"/>
              </w:rPr>
              <w:t>. 13-16 e 41-46).</w:t>
            </w:r>
            <w:r w:rsidR="00BF3CC9" w:rsidRPr="003052FF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  <w:p w:rsidR="00BF3CC9" w:rsidRPr="003052FF" w:rsidRDefault="00BF3CC9" w:rsidP="00BF3CC9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Beresford mostra-se calculista e ambicioso, pensando a revolta apenas em termos de prejuízos para a sua renda anual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. 6-9). Deste modo, assume a sua condição de mercenário, com interesses distintos dos 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dos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 outros governadores, revelando-se um homem lúcido, racional e materialista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13-16). Assume uma postura trocista e irónica, particularmente em relação ao Principal Sousa, mas também face aos representantes menos dignos da nação, que despreza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29-31 e 41-46).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5"/>
                <w:szCs w:val="15"/>
              </w:rPr>
            </w:pP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 – B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em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Felizmente Há Luar!</w:t>
            </w:r>
            <w:r w:rsidRPr="003052FF">
              <w:rPr>
                <w:rFonts w:cs="Arial"/>
                <w:sz w:val="16"/>
                <w:szCs w:val="17"/>
              </w:rPr>
              <w:t>, as dicotomias fortes/fracos, governadores/povo, poder/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antipoder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, presentes ao longo de toda a ação, ganham uma maior evidência em momentos de maior tensão dramática;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um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desses momentos corresponde ao final do primeiro ato, com a escolha arbitrária e injusta de Gomes Freire como conjurador a eliminar;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o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encontro entre Matilde e o povo, a que Manuel dá voz, constitui uma passagem de grande emoção, pelo confronto entre duas perspetivas de vida;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o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final da peça, com a execução do general e o clima de repressão e terror adensado pelos recursos cénicos, é igualmente um (ou o) momento de intenso dramatismo.</w:t>
            </w:r>
          </w:p>
          <w:p w:rsidR="0001357E" w:rsidRDefault="0001357E" w:rsidP="00BF3CC9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4605" w:type="dxa"/>
          </w:tcPr>
          <w:p w:rsidR="00597087" w:rsidRPr="003052FF" w:rsidRDefault="00597087" w:rsidP="00597087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sz w:val="16"/>
                <w:szCs w:val="17"/>
              </w:rPr>
              <w:tab/>
            </w:r>
          </w:p>
          <w:p w:rsidR="00597087" w:rsidRPr="003052FF" w:rsidRDefault="00597087" w:rsidP="005970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28"/>
                <w:szCs w:val="28"/>
              </w:rPr>
            </w:pP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2"/>
                <w:szCs w:val="12"/>
              </w:rPr>
            </w:pP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</w:t>
            </w:r>
          </w:p>
          <w:p w:rsidR="00BF3CC9" w:rsidRPr="00597087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597087">
              <w:rPr>
                <w:rFonts w:cs="Arial"/>
                <w:sz w:val="16"/>
                <w:szCs w:val="16"/>
              </w:rPr>
              <w:t xml:space="preserve">(B);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597087">
              <w:rPr>
                <w:rFonts w:cs="Arial"/>
                <w:sz w:val="16"/>
                <w:szCs w:val="16"/>
              </w:rPr>
              <w:t xml:space="preserve">(B);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597087">
              <w:rPr>
                <w:rFonts w:cs="Arial"/>
                <w:sz w:val="16"/>
                <w:szCs w:val="16"/>
              </w:rPr>
              <w:t xml:space="preserve">(A);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597087">
              <w:rPr>
                <w:rFonts w:cs="Arial"/>
                <w:sz w:val="16"/>
                <w:szCs w:val="16"/>
              </w:rPr>
              <w:t xml:space="preserve">(D);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597087">
              <w:rPr>
                <w:rFonts w:cs="Arial"/>
                <w:sz w:val="16"/>
                <w:szCs w:val="16"/>
              </w:rPr>
              <w:t xml:space="preserve">(C);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597087">
              <w:rPr>
                <w:rFonts w:cs="Arial"/>
                <w:sz w:val="16"/>
                <w:szCs w:val="16"/>
              </w:rPr>
              <w:t xml:space="preserve">(C);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597087">
              <w:rPr>
                <w:rFonts w:cs="Arial"/>
                <w:sz w:val="16"/>
                <w:szCs w:val="16"/>
              </w:rPr>
              <w:t>(D)</w:t>
            </w:r>
          </w:p>
          <w:p w:rsidR="00BF3CC9" w:rsidRPr="00597087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597087">
              <w:rPr>
                <w:rFonts w:cs="Arial"/>
                <w:b/>
                <w:bCs/>
                <w:sz w:val="16"/>
                <w:szCs w:val="16"/>
              </w:rPr>
              <w:t>a</w:t>
            </w:r>
            <w:proofErr w:type="gramEnd"/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597087">
              <w:rPr>
                <w:rFonts w:cs="Arial"/>
                <w:sz w:val="16"/>
                <w:szCs w:val="16"/>
              </w:rPr>
              <w:t xml:space="preserve">(7);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597087">
              <w:rPr>
                <w:rFonts w:cs="Arial"/>
                <w:sz w:val="16"/>
                <w:szCs w:val="16"/>
              </w:rPr>
              <w:t xml:space="preserve">(5);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597087">
              <w:rPr>
                <w:rFonts w:cs="Arial"/>
                <w:sz w:val="16"/>
                <w:szCs w:val="16"/>
              </w:rPr>
              <w:t xml:space="preserve">(2); </w:t>
            </w:r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597087">
              <w:rPr>
                <w:rFonts w:cs="Arial"/>
                <w:sz w:val="16"/>
                <w:szCs w:val="16"/>
              </w:rPr>
              <w:t xml:space="preserve">(1); </w:t>
            </w:r>
            <w:proofErr w:type="gramStart"/>
            <w:r w:rsidRPr="00597087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597087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597087">
              <w:rPr>
                <w:rFonts w:cs="Arial"/>
                <w:sz w:val="16"/>
                <w:szCs w:val="16"/>
              </w:rPr>
              <w:t>(8).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2"/>
                <w:szCs w:val="12"/>
              </w:rPr>
            </w:pP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III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</w:t>
            </w:r>
          </w:p>
          <w:p w:rsidR="00BF3CC9" w:rsidRPr="003052FF" w:rsidRDefault="00BF3CC9" w:rsidP="00BF3CC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01357E" w:rsidRDefault="0001357E" w:rsidP="00597087">
            <w:pPr>
              <w:tabs>
                <w:tab w:val="left" w:pos="357"/>
              </w:tabs>
              <w:spacing w:before="40"/>
              <w:ind w:left="357" w:hanging="357"/>
            </w:pPr>
            <w:bookmarkStart w:id="0" w:name="_GoBack"/>
            <w:bookmarkEnd w:id="0"/>
          </w:p>
        </w:tc>
      </w:tr>
    </w:tbl>
    <w:p w:rsidR="00413E50" w:rsidRDefault="00413E50" w:rsidP="0043516C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CF00F2" w:rsidTr="00CF00F2">
        <w:tc>
          <w:tcPr>
            <w:tcW w:w="4605" w:type="dxa"/>
          </w:tcPr>
          <w:p w:rsidR="00CF00F2" w:rsidRDefault="00CF00F2" w:rsidP="000E6F54">
            <w:pPr>
              <w:tabs>
                <w:tab w:val="left" w:pos="426"/>
              </w:tabs>
              <w:spacing w:before="40"/>
              <w:ind w:left="426" w:hanging="426"/>
            </w:pPr>
          </w:p>
        </w:tc>
        <w:tc>
          <w:tcPr>
            <w:tcW w:w="4605" w:type="dxa"/>
          </w:tcPr>
          <w:p w:rsidR="00BF3CC9" w:rsidRDefault="00B828CA" w:rsidP="00BF3CC9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</w:pPr>
            <w:r>
              <w:rPr>
                <w:rFonts w:cs="Arial"/>
                <w:sz w:val="16"/>
                <w:szCs w:val="17"/>
              </w:rPr>
              <w:tab/>
            </w:r>
          </w:p>
          <w:p w:rsidR="00CF00F2" w:rsidRDefault="00CF00F2" w:rsidP="000E6F54">
            <w:pPr>
              <w:tabs>
                <w:tab w:val="left" w:pos="357"/>
              </w:tabs>
              <w:spacing w:before="40"/>
              <w:ind w:left="357" w:hanging="357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BF3CC9" w:rsidRPr="00BF3CC9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3CC9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502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2012-05-17T16:25:00Z</dcterms:modified>
</cp:coreProperties>
</file>