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51" w:rsidRDefault="002C6951" w:rsidP="002C6951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047D150" wp14:editId="7E35B7D6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6951" w:rsidRPr="0013505B" w:rsidRDefault="0065395D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="002C6951"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2C6951" w:rsidRPr="0013505B" w:rsidRDefault="0065395D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="002C6951"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43516C" w:rsidRDefault="0043516C" w:rsidP="0043516C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01357E" w:rsidTr="009A0708">
        <w:trPr>
          <w:trHeight w:val="6185"/>
        </w:trPr>
        <w:tc>
          <w:tcPr>
            <w:tcW w:w="4605" w:type="dxa"/>
          </w:tcPr>
          <w:p w:rsidR="009A0708" w:rsidRPr="00597087" w:rsidRDefault="009A0708" w:rsidP="009A0708">
            <w:pPr>
              <w:widowControl w:val="0"/>
              <w:tabs>
                <w:tab w:val="right" w:pos="4389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597087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7</w:t>
            </w:r>
            <w:r w:rsidRPr="00597087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64</w:t>
            </w:r>
          </w:p>
          <w:p w:rsidR="009A0708" w:rsidRPr="003052FF" w:rsidRDefault="009A0708" w:rsidP="009A070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9A0708" w:rsidRPr="003052FF" w:rsidRDefault="009A0708" w:rsidP="009A070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Grupo I – A</w:t>
            </w:r>
          </w:p>
          <w:p w:rsidR="009A0708" w:rsidRPr="003052FF" w:rsidRDefault="009A0708" w:rsidP="009A0708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O excerto corresponde ao momento em que Frei Diogo interrompe o diálogo de Matilde com o principal Sousa, durante o qual a esposa de Gomes Freire desvenda a hipocrisia do poder através da crítica aos seus métodos e agentes. Matilde interpelara anteriormente os outros dois governantes para que impedissem a execução do marido e, no contexto em que ocorre, a chegada de Frei Diogo confirma a sua recusa e simboliza a proximidade da morte do general.</w:t>
            </w:r>
          </w:p>
          <w:p w:rsidR="009A0708" w:rsidRPr="003052FF" w:rsidRDefault="009A0708" w:rsidP="009A0708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2.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Frei Diogo é justo e honesto (l. 17), solidário 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>. 26-30) e digno representante da classe religiosa, em oposição ao principal Sousa, que personifica a associação da religião ao poder. Pelo contrário, Frei Diogo, que critica abertamente essa atuação 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>. 17, 21-23, 33-36) representa a religião autêntica e baseada nos princípios bíblicos.</w:t>
            </w:r>
          </w:p>
          <w:p w:rsidR="009A0708" w:rsidRPr="003052FF" w:rsidRDefault="009A0708" w:rsidP="009A0708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3.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As palavras de Frei Diogo constituem o reconhecimento da corrupção no seio da Igreja. Ao pedir a Matilde que separe Deus dos homens que O representam, evidencia a clara contradição entre os ideais de bondade e liberdade preconizados por Cristo e a ambição desmedida dos homens, concretamente do principal Sousa.</w:t>
            </w:r>
          </w:p>
          <w:p w:rsidR="009A0708" w:rsidRPr="003052FF" w:rsidRDefault="009A0708" w:rsidP="009A0708">
            <w:pPr>
              <w:widowControl w:val="0"/>
              <w:autoSpaceDE w:val="0"/>
              <w:autoSpaceDN w:val="0"/>
              <w:adjustRightInd w:val="0"/>
              <w:spacing w:after="0"/>
              <w:ind w:left="426" w:hanging="426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4.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No decorrer da ação, o Principal Sousa evolui de uma atitude de paternalismo e condescendência face a Matilde, que menospreza nos seus sentimentos e nos seus pedidos, para</w:t>
            </w:r>
            <w:r w:rsidRPr="003052FF">
              <w:rPr>
                <w:rFonts w:cs="Arial"/>
                <w:sz w:val="16"/>
                <w:szCs w:val="17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>uma postura rígida e de manifestação de poder. A mudança é determinada pelas palavras e pelos modos de Frei Diogo que, ignorando as suas ordens e agindo humanamente para reconfortar Matilde, provoca até a sua ira ao aludir à corrupção dos homens que falam em nome de Deus.</w:t>
            </w:r>
          </w:p>
          <w:p w:rsidR="0001357E" w:rsidRDefault="0001357E" w:rsidP="009A0708">
            <w:pPr>
              <w:tabs>
                <w:tab w:val="left" w:pos="426"/>
              </w:tabs>
              <w:spacing w:before="40"/>
              <w:ind w:left="426" w:hanging="426"/>
            </w:pPr>
          </w:p>
        </w:tc>
        <w:tc>
          <w:tcPr>
            <w:tcW w:w="4605" w:type="dxa"/>
          </w:tcPr>
          <w:p w:rsidR="009A0708" w:rsidRPr="003052FF" w:rsidRDefault="00597087" w:rsidP="009A0708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>
              <w:rPr>
                <w:rFonts w:cs="Arial"/>
                <w:sz w:val="16"/>
                <w:szCs w:val="17"/>
              </w:rPr>
              <w:tab/>
            </w:r>
          </w:p>
          <w:p w:rsidR="006F13F1" w:rsidRPr="003052FF" w:rsidRDefault="006F13F1" w:rsidP="006F13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9"/>
                <w:szCs w:val="19"/>
              </w:rPr>
              <w:t>Grupo II</w:t>
            </w:r>
          </w:p>
          <w:p w:rsidR="006F13F1" w:rsidRPr="00CF00F2" w:rsidRDefault="006F13F1" w:rsidP="006F13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6"/>
              </w:rPr>
            </w:pP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CF00F2">
              <w:rPr>
                <w:rFonts w:cs="Arial"/>
                <w:sz w:val="16"/>
                <w:szCs w:val="16"/>
              </w:rPr>
              <w:t xml:space="preserve">(B);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CF00F2">
              <w:rPr>
                <w:rFonts w:cs="Arial"/>
                <w:sz w:val="16"/>
                <w:szCs w:val="16"/>
              </w:rPr>
              <w:t xml:space="preserve">(B);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CF00F2">
              <w:rPr>
                <w:rFonts w:cs="Arial"/>
                <w:sz w:val="16"/>
                <w:szCs w:val="16"/>
              </w:rPr>
              <w:t xml:space="preserve">(A);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CF00F2">
              <w:rPr>
                <w:rFonts w:cs="Arial"/>
                <w:sz w:val="16"/>
                <w:szCs w:val="16"/>
              </w:rPr>
              <w:t xml:space="preserve">(B);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CF00F2">
              <w:rPr>
                <w:rFonts w:cs="Arial"/>
                <w:sz w:val="16"/>
                <w:szCs w:val="16"/>
              </w:rPr>
              <w:t xml:space="preserve">(A);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CF00F2">
              <w:rPr>
                <w:rFonts w:cs="Arial"/>
                <w:sz w:val="16"/>
                <w:szCs w:val="16"/>
              </w:rPr>
              <w:t xml:space="preserve">(D);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CF00F2">
              <w:rPr>
                <w:rFonts w:cs="Arial"/>
                <w:sz w:val="16"/>
                <w:szCs w:val="16"/>
              </w:rPr>
              <w:t>(B)</w:t>
            </w:r>
          </w:p>
          <w:p w:rsidR="006F13F1" w:rsidRPr="00CF00F2" w:rsidRDefault="006F13F1" w:rsidP="006F13F1">
            <w:pPr>
              <w:widowControl w:val="0"/>
              <w:autoSpaceDE w:val="0"/>
              <w:autoSpaceDN w:val="0"/>
              <w:adjustRightInd w:val="0"/>
              <w:spacing w:after="0"/>
              <w:ind w:left="426" w:hanging="426"/>
              <w:rPr>
                <w:rFonts w:cs="Arial"/>
                <w:color w:val="000000"/>
                <w:sz w:val="16"/>
                <w:szCs w:val="16"/>
              </w:rPr>
            </w:pP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2. </w:t>
            </w:r>
            <w:proofErr w:type="gramStart"/>
            <w:r w:rsidRPr="00CF00F2">
              <w:rPr>
                <w:rFonts w:cs="Arial"/>
                <w:sz w:val="16"/>
                <w:szCs w:val="16"/>
              </w:rPr>
              <w:t>e</w:t>
            </w:r>
            <w:proofErr w:type="gramEnd"/>
            <w:r w:rsidRPr="00CF00F2">
              <w:rPr>
                <w:rFonts w:cs="Arial"/>
                <w:sz w:val="16"/>
                <w:szCs w:val="16"/>
              </w:rPr>
              <w:t xml:space="preserve">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2.1. a. </w:t>
            </w:r>
            <w:r w:rsidRPr="00CF00F2">
              <w:rPr>
                <w:rFonts w:cs="Arial"/>
                <w:sz w:val="16"/>
                <w:szCs w:val="16"/>
              </w:rPr>
              <w:t xml:space="preserve">Verdadeira;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b. </w:t>
            </w:r>
            <w:r w:rsidRPr="00CF00F2">
              <w:rPr>
                <w:rFonts w:cs="Arial"/>
                <w:sz w:val="16"/>
                <w:szCs w:val="16"/>
              </w:rPr>
              <w:t xml:space="preserve">Verdadeira;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c. </w:t>
            </w:r>
            <w:r w:rsidRPr="00CF00F2">
              <w:rPr>
                <w:rFonts w:cs="Arial"/>
                <w:sz w:val="16"/>
                <w:szCs w:val="16"/>
              </w:rPr>
              <w:t xml:space="preserve">Falsa; o segmento integra uma oração subordinada adjetiva relativa restritiva;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d. </w:t>
            </w:r>
            <w:r w:rsidRPr="00CF00F2">
              <w:rPr>
                <w:rFonts w:cs="Arial"/>
                <w:sz w:val="16"/>
                <w:szCs w:val="16"/>
              </w:rPr>
              <w:t xml:space="preserve">Verdadeira; </w:t>
            </w:r>
            <w:proofErr w:type="gramStart"/>
            <w:r w:rsidRPr="00CF00F2">
              <w:rPr>
                <w:rFonts w:cs="Arial"/>
                <w:b/>
                <w:bCs/>
                <w:sz w:val="16"/>
                <w:szCs w:val="16"/>
              </w:rPr>
              <w:t>e</w:t>
            </w:r>
            <w:proofErr w:type="gramEnd"/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CF00F2">
              <w:rPr>
                <w:rFonts w:cs="Arial"/>
                <w:sz w:val="16"/>
                <w:szCs w:val="16"/>
              </w:rPr>
              <w:t xml:space="preserve">Falsa; a palavra é um pronome pessoal;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f. </w:t>
            </w:r>
            <w:r w:rsidRPr="00CF00F2">
              <w:rPr>
                <w:rFonts w:cs="Arial"/>
                <w:sz w:val="16"/>
                <w:szCs w:val="16"/>
              </w:rPr>
              <w:t xml:space="preserve">Verdadeira;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g. </w:t>
            </w:r>
            <w:r w:rsidRPr="00CF00F2">
              <w:rPr>
                <w:rFonts w:cs="Arial"/>
                <w:sz w:val="16"/>
                <w:szCs w:val="16"/>
              </w:rPr>
              <w:t xml:space="preserve">Falsa; o referente de </w:t>
            </w:r>
            <w:r w:rsidRPr="00CF00F2">
              <w:rPr>
                <w:rFonts w:cs="Arial"/>
                <w:i/>
                <w:iCs/>
                <w:sz w:val="16"/>
                <w:szCs w:val="16"/>
              </w:rPr>
              <w:t xml:space="preserve">“que” </w:t>
            </w:r>
            <w:r w:rsidRPr="00CF00F2">
              <w:rPr>
                <w:rFonts w:cs="Arial"/>
                <w:sz w:val="16"/>
                <w:szCs w:val="16"/>
              </w:rPr>
              <w:t xml:space="preserve">é </w:t>
            </w:r>
            <w:r w:rsidRPr="00CF00F2">
              <w:rPr>
                <w:rFonts w:cs="Arial"/>
                <w:i/>
                <w:iCs/>
                <w:sz w:val="16"/>
                <w:szCs w:val="16"/>
              </w:rPr>
              <w:t>“</w:t>
            </w:r>
            <w:proofErr w:type="gramStart"/>
            <w:r w:rsidRPr="00CF00F2">
              <w:rPr>
                <w:rFonts w:cs="Arial"/>
                <w:i/>
                <w:iCs/>
                <w:sz w:val="16"/>
                <w:szCs w:val="16"/>
              </w:rPr>
              <w:t>[a</w:t>
            </w:r>
            <w:proofErr w:type="gramEnd"/>
            <w:r w:rsidRPr="00CF00F2">
              <w:rPr>
                <w:rFonts w:cs="Arial"/>
                <w:i/>
                <w:iCs/>
                <w:sz w:val="16"/>
                <w:szCs w:val="16"/>
              </w:rPr>
              <w:t xml:space="preserve">] revolução” </w:t>
            </w:r>
            <w:r w:rsidRPr="00CF00F2">
              <w:rPr>
                <w:rFonts w:cs="Arial"/>
                <w:sz w:val="16"/>
                <w:szCs w:val="16"/>
              </w:rPr>
              <w:t xml:space="preserve">(l. 10);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h. </w:t>
            </w:r>
            <w:r w:rsidRPr="00CF00F2">
              <w:rPr>
                <w:rFonts w:cs="Arial"/>
                <w:sz w:val="16"/>
                <w:szCs w:val="16"/>
              </w:rPr>
              <w:t xml:space="preserve">Verdadeira;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i. </w:t>
            </w:r>
            <w:r w:rsidRPr="00CF00F2">
              <w:rPr>
                <w:rFonts w:cs="Arial"/>
                <w:sz w:val="16"/>
                <w:szCs w:val="16"/>
              </w:rPr>
              <w:t xml:space="preserve">Verdadeira; </w:t>
            </w:r>
            <w:r w:rsidRPr="00CF00F2">
              <w:rPr>
                <w:rFonts w:cs="Arial"/>
                <w:b/>
                <w:bCs/>
                <w:sz w:val="16"/>
                <w:szCs w:val="16"/>
              </w:rPr>
              <w:t xml:space="preserve">j. </w:t>
            </w:r>
            <w:r w:rsidRPr="00CF00F2">
              <w:rPr>
                <w:rFonts w:cs="Arial"/>
                <w:sz w:val="16"/>
                <w:szCs w:val="16"/>
              </w:rPr>
              <w:t>Falsa; o uso da vírgula justifica-se pela necessidade de separar elementos sucessivos numa enumeração.</w:t>
            </w:r>
          </w:p>
          <w:p w:rsidR="006F13F1" w:rsidRPr="003052FF" w:rsidRDefault="006F13F1" w:rsidP="006F13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2"/>
                <w:szCs w:val="12"/>
              </w:rPr>
            </w:pPr>
          </w:p>
          <w:p w:rsidR="00597087" w:rsidRPr="006F13F1" w:rsidRDefault="006F13F1" w:rsidP="005970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9"/>
                <w:szCs w:val="19"/>
              </w:rPr>
              <w:t>Grupo III</w:t>
            </w:r>
            <w:bookmarkStart w:id="0" w:name="_GoBack"/>
            <w:bookmarkEnd w:id="0"/>
          </w:p>
          <w:p w:rsidR="006F13F1" w:rsidRPr="003052FF" w:rsidRDefault="006F13F1" w:rsidP="006F13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</w:t>
            </w:r>
          </w:p>
          <w:p w:rsidR="006F13F1" w:rsidRPr="003052FF" w:rsidRDefault="006F13F1" w:rsidP="006F13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Cf.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pp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>. 20-23: Critérios e níveis de desempenho para avaliação e classificação dos textos de reflexão no Exame Nacional.</w:t>
            </w:r>
          </w:p>
          <w:p w:rsidR="00597087" w:rsidRPr="006F13F1" w:rsidRDefault="00597087" w:rsidP="005970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b/>
                <w:color w:val="000000"/>
                <w:sz w:val="28"/>
                <w:szCs w:val="28"/>
              </w:rPr>
            </w:pPr>
          </w:p>
          <w:p w:rsidR="0001357E" w:rsidRDefault="0001357E" w:rsidP="00597087">
            <w:pPr>
              <w:tabs>
                <w:tab w:val="left" w:pos="357"/>
              </w:tabs>
              <w:spacing w:before="40"/>
              <w:ind w:left="357" w:hanging="357"/>
            </w:pPr>
          </w:p>
        </w:tc>
      </w:tr>
      <w:tr w:rsidR="00CF00F2" w:rsidTr="00CF00F2">
        <w:tc>
          <w:tcPr>
            <w:tcW w:w="4605" w:type="dxa"/>
          </w:tcPr>
          <w:p w:rsidR="00CF00F2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/>
                <w:bCs/>
                <w:sz w:val="19"/>
                <w:szCs w:val="19"/>
              </w:rPr>
              <w:t>Grupo I – B</w:t>
            </w:r>
          </w:p>
          <w:p w:rsidR="00CF00F2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sz w:val="16"/>
                <w:szCs w:val="17"/>
              </w:rPr>
            </w:pPr>
            <w:r>
              <w:rPr>
                <w:rFonts w:cs="Arial"/>
                <w:sz w:val="16"/>
                <w:szCs w:val="17"/>
              </w:rPr>
              <w:t>Resposta pessoal.</w:t>
            </w:r>
          </w:p>
          <w:p w:rsidR="00CF00F2" w:rsidRPr="003052FF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Sugestão de correção:</w:t>
            </w:r>
          </w:p>
          <w:p w:rsidR="00CF00F2" w:rsidRPr="003052FF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ind w:firstLine="284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Do conjunto de temas presentes nesta peça (opressão, liberdade, amor…) a denúncia da opressão apresenta-se como dominante.</w:t>
            </w:r>
          </w:p>
          <w:p w:rsidR="00CF00F2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ind w:firstLine="284"/>
              <w:rPr>
                <w:rFonts w:cs="Arial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Com efeito, a diegese dramática, desde o conluio dos representantes do poder para construir um culpado duma hipotética sublevação militar e popular, até à corajosa atitude de Matilde para libertar o general e denunciar a hipocrisia dos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“reis do Rossio”</w:t>
            </w:r>
            <w:r w:rsidRPr="003052FF">
              <w:rPr>
                <w:rFonts w:cs="Arial"/>
                <w:sz w:val="16"/>
                <w:szCs w:val="17"/>
              </w:rPr>
              <w:t xml:space="preserve">, estrutura-se em torno do tema da opressão. É também de referir que, através da técnica do distanciamento histórico, a verdadeira opressão que se denuncia é a do Portugal sob a ditadura salazarista dos anos sessenta. </w:t>
            </w:r>
          </w:p>
          <w:p w:rsidR="00CF00F2" w:rsidRPr="003052FF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ind w:firstLine="284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Concluindo, poder-se-á afirmar que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Felizmente Há Luar!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é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um hino a todos os resistentes que lutaram pelo fim da opressão e pela</w:t>
            </w:r>
            <w:r>
              <w:rPr>
                <w:rFonts w:cs="Arial"/>
                <w:sz w:val="16"/>
                <w:szCs w:val="17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>restituição da liberdade ao povo português.</w:t>
            </w:r>
          </w:p>
          <w:p w:rsidR="00CF00F2" w:rsidRPr="000E6F54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sz w:val="7"/>
                <w:szCs w:val="15"/>
              </w:rPr>
            </w:pPr>
          </w:p>
          <w:p w:rsidR="00CF00F2" w:rsidRPr="003052FF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Arial"/>
                <w:color w:val="000000"/>
                <w:sz w:val="15"/>
                <w:szCs w:val="15"/>
              </w:rPr>
            </w:pPr>
            <w:r w:rsidRPr="003052FF">
              <w:rPr>
                <w:rFonts w:cs="Arial"/>
                <w:sz w:val="15"/>
                <w:szCs w:val="15"/>
              </w:rPr>
              <w:t xml:space="preserve">RAMOS, Auxília, e BRAGA, Zaida, 2011. </w:t>
            </w:r>
            <w:r w:rsidRPr="003052FF">
              <w:rPr>
                <w:rFonts w:cs="Arial"/>
                <w:i/>
                <w:iCs/>
                <w:sz w:val="15"/>
                <w:szCs w:val="15"/>
              </w:rPr>
              <w:t>Felizmente Há Luar!</w:t>
            </w:r>
          </w:p>
          <w:p w:rsidR="00CF00F2" w:rsidRPr="003052FF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Arial"/>
                <w:color w:val="000000"/>
                <w:sz w:val="15"/>
                <w:szCs w:val="15"/>
              </w:rPr>
            </w:pPr>
            <w:r w:rsidRPr="003052FF">
              <w:rPr>
                <w:rFonts w:cs="Arial"/>
                <w:sz w:val="15"/>
                <w:szCs w:val="15"/>
              </w:rPr>
              <w:t xml:space="preserve">Luís de </w:t>
            </w:r>
            <w:proofErr w:type="spellStart"/>
            <w:r w:rsidRPr="003052FF">
              <w:rPr>
                <w:rFonts w:cs="Arial"/>
                <w:sz w:val="15"/>
                <w:szCs w:val="15"/>
              </w:rPr>
              <w:t>Sttau</w:t>
            </w:r>
            <w:proofErr w:type="spellEnd"/>
            <w:r w:rsidRPr="003052FF">
              <w:rPr>
                <w:rFonts w:cs="Arial"/>
                <w:sz w:val="15"/>
                <w:szCs w:val="15"/>
              </w:rPr>
              <w:t xml:space="preserve"> Monteiro. Porto: Ideias de Ler</w:t>
            </w:r>
          </w:p>
          <w:p w:rsidR="00CF00F2" w:rsidRPr="003052FF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3"/>
                <w:szCs w:val="13"/>
              </w:rPr>
            </w:pPr>
          </w:p>
          <w:p w:rsidR="00CF00F2" w:rsidRPr="003052FF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</w:rPr>
            </w:pPr>
          </w:p>
          <w:p w:rsidR="00CF00F2" w:rsidRDefault="00CF00F2" w:rsidP="000E6F54">
            <w:pPr>
              <w:tabs>
                <w:tab w:val="left" w:pos="426"/>
              </w:tabs>
              <w:spacing w:before="40"/>
              <w:ind w:left="426" w:hanging="426"/>
            </w:pPr>
          </w:p>
        </w:tc>
        <w:tc>
          <w:tcPr>
            <w:tcW w:w="4605" w:type="dxa"/>
          </w:tcPr>
          <w:p w:rsidR="00CF00F2" w:rsidRDefault="00CF00F2" w:rsidP="000E6F54">
            <w:pPr>
              <w:tabs>
                <w:tab w:val="left" w:pos="357"/>
              </w:tabs>
              <w:spacing w:before="40"/>
              <w:ind w:left="357" w:hanging="357"/>
            </w:pPr>
          </w:p>
        </w:tc>
      </w:tr>
      <w:tr w:rsidR="00EB028B" w:rsidTr="00EB028B">
        <w:tc>
          <w:tcPr>
            <w:tcW w:w="4605" w:type="dxa"/>
          </w:tcPr>
          <w:p w:rsidR="00EB028B" w:rsidRDefault="00EB028B" w:rsidP="00EB028B">
            <w:pPr>
              <w:tabs>
                <w:tab w:val="left" w:pos="426"/>
              </w:tabs>
              <w:spacing w:before="40"/>
              <w:ind w:left="425" w:hanging="425"/>
            </w:pPr>
          </w:p>
        </w:tc>
        <w:tc>
          <w:tcPr>
            <w:tcW w:w="4605" w:type="dxa"/>
          </w:tcPr>
          <w:p w:rsidR="00EB028B" w:rsidRDefault="00EB028B" w:rsidP="00EB028B"/>
        </w:tc>
      </w:tr>
    </w:tbl>
    <w:p w:rsidR="000E6F54" w:rsidRDefault="000E6F54" w:rsidP="0043516C">
      <w:pPr>
        <w:pStyle w:val="NoSpacing"/>
      </w:pPr>
    </w:p>
    <w:sectPr w:rsidR="000E6F54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6F13F1" w:rsidRPr="006F13F1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880C232" wp14:editId="3EA6DBE5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7C634F" wp14:editId="12FABF12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13F1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A0708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935</TotalTime>
  <Pages>1</Pages>
  <Words>493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146</cp:revision>
  <dcterms:created xsi:type="dcterms:W3CDTF">2012-04-24T17:08:00Z</dcterms:created>
  <dcterms:modified xsi:type="dcterms:W3CDTF">2012-05-17T16:30:00Z</dcterms:modified>
</cp:coreProperties>
</file>