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51" w:rsidRDefault="002C6951" w:rsidP="002C6951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047D150" wp14:editId="7E35B7D6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6951" w:rsidRPr="0013505B" w:rsidRDefault="0065395D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="002C6951"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2C6951" w:rsidRPr="0013505B" w:rsidRDefault="0065395D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="002C6951"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43516C" w:rsidRDefault="0043516C" w:rsidP="0043516C">
      <w:pPr>
        <w:pStyle w:val="NoSpacing"/>
      </w:pPr>
    </w:p>
    <w:p w:rsidR="00413E50" w:rsidRDefault="00413E50" w:rsidP="0043516C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CF00F2" w:rsidTr="00CF00F2">
        <w:tc>
          <w:tcPr>
            <w:tcW w:w="4605" w:type="dxa"/>
          </w:tcPr>
          <w:p w:rsidR="005104EE" w:rsidRPr="00B828CA" w:rsidRDefault="005104EE" w:rsidP="005104EE">
            <w:pPr>
              <w:widowControl w:val="0"/>
              <w:tabs>
                <w:tab w:val="right" w:pos="4389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B828CA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9</w:t>
            </w:r>
            <w:r w:rsidRPr="00B828CA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73</w:t>
            </w:r>
          </w:p>
          <w:p w:rsidR="005104EE" w:rsidRPr="003052FF" w:rsidRDefault="005104EE" w:rsidP="005104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5104EE" w:rsidRPr="003052FF" w:rsidRDefault="005104EE" w:rsidP="005104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Grupo I – A</w:t>
            </w:r>
          </w:p>
          <w:p w:rsidR="005104EE" w:rsidRPr="003052FF" w:rsidRDefault="005104EE" w:rsidP="005104EE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Sucessivos adiamentos fizeram com que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“o mais glorioso dos dias” </w:t>
            </w:r>
            <w:r w:rsidRPr="003052FF">
              <w:rPr>
                <w:rFonts w:cs="Arial"/>
                <w:sz w:val="16"/>
                <w:szCs w:val="17"/>
              </w:rPr>
              <w:t xml:space="preserve">(l. 1) de D. João V, o da sagração do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“mais prodigioso dos monumentos que em Portugal se levantaram” </w:t>
            </w:r>
            <w:r w:rsidRPr="003052FF">
              <w:rPr>
                <w:rFonts w:cs="Arial"/>
                <w:sz w:val="16"/>
                <w:szCs w:val="17"/>
              </w:rPr>
              <w:t xml:space="preserve">(l. 3), fosse aguardado com expectativa. Apesar de o convento estar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“ainda por acabar” </w:t>
            </w:r>
            <w:r w:rsidRPr="003052FF">
              <w:rPr>
                <w:rFonts w:cs="Arial"/>
                <w:sz w:val="16"/>
                <w:szCs w:val="17"/>
              </w:rPr>
              <w:t>(l. 3), a data da sua inauguração corresponde ao culminar de um (longo) tempo de espera. Daí o uso do conector com valor conclusivo, indicando o final da construção e da espera, para quem construiu e para quem mandou construir.</w:t>
            </w:r>
          </w:p>
          <w:p w:rsidR="005104EE" w:rsidRPr="003052FF" w:rsidRDefault="005104EE" w:rsidP="005104EE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2.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Na cerimónia de consagração do convento, concentraram-se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“setenta mil, oitenta mil pessoas” </w:t>
            </w:r>
            <w:r w:rsidRPr="003052FF">
              <w:rPr>
                <w:rFonts w:cs="Arial"/>
                <w:sz w:val="16"/>
                <w:szCs w:val="17"/>
              </w:rPr>
              <w:t>(l. 22) que assistiram maravilhadas à inauguração da construção. O espaço está magnificamente decorado, sobressaindo os veludos, o ouro, as alcatifas e os objetos religiosos que serão utilizados pelos elementos do clero 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 xml:space="preserve">. 9-11). Também se organiza uma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“procissão solene” </w:t>
            </w:r>
            <w:r w:rsidRPr="003052FF">
              <w:rPr>
                <w:rFonts w:cs="Arial"/>
                <w:sz w:val="16"/>
                <w:szCs w:val="17"/>
              </w:rPr>
              <w:t>(l. 12) de acordo com o protocolo, sendo o primeiro e principal elemento o patriarca que procede à bênção do espaço e das pessoas que se ajoelham no chão.</w:t>
            </w:r>
          </w:p>
          <w:p w:rsidR="00CF00F2" w:rsidRDefault="005104EE" w:rsidP="005104EE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left="426" w:hanging="426"/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3.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Neste excerto, verifica-se uma crítica ao clero, realçando-se a exuberância dos rituais religiosos: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“o magnífico trono patriarcal,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ao lado esquerdo do pórtico, com as suas cadeiras e dossel de veludo carmesim, com guarnições de ouro, o chão coberto de alcatifas, um primor, e numa credência a caldeirinha e o hissope, mais os restantes instrumentos, já se armou a procissão solene que dará a volta à igreja, […] o principal da festa é o patriarca, benze o sal e a água, atira água benta às paredes […] e depois vai bater por três vezes com o báculo na porta grande do meio” </w:t>
            </w:r>
            <w:r w:rsidRPr="003052FF">
              <w:rPr>
                <w:rFonts w:cs="Arial"/>
                <w:sz w:val="16"/>
                <w:szCs w:val="17"/>
              </w:rPr>
              <w:t>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. 9-16). Há também uma crítica à duração dos cerimoniais (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“e nisto se passou a manhã e grande parte da tarde, eram cinco horas quando o patriarca começou a missa de pontifical, que, claro está, levou o seu tempo, e não foi pouco”</w:t>
            </w:r>
            <w:r w:rsidRPr="003052FF">
              <w:rPr>
                <w:rFonts w:cs="Arial"/>
                <w:sz w:val="16"/>
                <w:szCs w:val="17"/>
              </w:rPr>
              <w:t xml:space="preserve">, 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 xml:space="preserve">. 19-21), assim como ao valimento das ações patriarcais, pois, quando o patriarca benze as paredes da basílica, tal ação merece do narrador um comentário irónico: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“atira água benta às paredes, porventura não foi tanta como quanta devia ser, ou não cairia Álvaro Diogo de trinta metros daqui a poucos meses” </w:t>
            </w:r>
            <w:r w:rsidRPr="003052FF">
              <w:rPr>
                <w:rFonts w:cs="Arial"/>
                <w:sz w:val="16"/>
                <w:szCs w:val="17"/>
              </w:rPr>
              <w:t>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. 14-15).</w:t>
            </w:r>
          </w:p>
        </w:tc>
        <w:tc>
          <w:tcPr>
            <w:tcW w:w="4605" w:type="dxa"/>
          </w:tcPr>
          <w:p w:rsidR="00B828CA" w:rsidRPr="003052FF" w:rsidRDefault="00B828CA" w:rsidP="005104EE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>
              <w:rPr>
                <w:rFonts w:cs="Arial"/>
                <w:sz w:val="16"/>
                <w:szCs w:val="17"/>
              </w:rPr>
              <w:tab/>
            </w:r>
          </w:p>
          <w:p w:rsidR="00B828CA" w:rsidRPr="003052FF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28"/>
                <w:szCs w:val="28"/>
              </w:rPr>
            </w:pPr>
          </w:p>
          <w:p w:rsidR="005104EE" w:rsidRPr="003052FF" w:rsidRDefault="005104EE" w:rsidP="005104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Grupo I – B</w:t>
            </w:r>
          </w:p>
          <w:p w:rsidR="005104EE" w:rsidRPr="003052FF" w:rsidRDefault="005104EE" w:rsidP="005104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 Tópicos de resposta:</w:t>
            </w:r>
          </w:p>
          <w:p w:rsidR="005104EE" w:rsidRPr="003052FF" w:rsidRDefault="005104EE" w:rsidP="005104EE">
            <w:pPr>
              <w:widowControl w:val="0"/>
              <w:tabs>
                <w:tab w:val="left" w:pos="215"/>
              </w:tabs>
              <w:autoSpaceDE w:val="0"/>
              <w:autoSpaceDN w:val="0"/>
              <w:adjustRightInd w:val="0"/>
              <w:spacing w:before="40" w:after="0"/>
              <w:ind w:left="215" w:hanging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r>
              <w:rPr>
                <w:rFonts w:cs="Arial"/>
                <w:sz w:val="16"/>
                <w:szCs w:val="17"/>
              </w:rPr>
              <w:tab/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Memorial do Convento </w:t>
            </w:r>
            <w:r w:rsidRPr="003052FF">
              <w:rPr>
                <w:rFonts w:cs="Arial"/>
                <w:sz w:val="16"/>
                <w:szCs w:val="17"/>
              </w:rPr>
              <w:t>conjuga elementos históricos e ficcionais nas suas distintas linhas narrativas, fazendo participar habilmente a História nas aventuras da construção da passarola, e levando a ficção a intervir no relato da construção do convento;</w:t>
            </w:r>
          </w:p>
          <w:p w:rsidR="005104EE" w:rsidRPr="003052FF" w:rsidRDefault="005104EE" w:rsidP="005104EE">
            <w:pPr>
              <w:widowControl w:val="0"/>
              <w:tabs>
                <w:tab w:val="left" w:pos="215"/>
              </w:tabs>
              <w:autoSpaceDE w:val="0"/>
              <w:autoSpaceDN w:val="0"/>
              <w:adjustRightInd w:val="0"/>
              <w:spacing w:before="40" w:after="0"/>
              <w:ind w:left="215" w:hanging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r>
              <w:rPr>
                <w:rFonts w:cs="Arial"/>
                <w:sz w:val="16"/>
                <w:szCs w:val="17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Da fusão de factos e figuras reais e acontecimentos e personagens fictícios, muitas vezes imbuídos de uma aura de simbolismo e de maravilhoso, resulta uma apresentação da História como resultado dos esforços dos “pequenos”, os que, com a sua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mão de obra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>, deram forma ao sonho dos “grandes”, os únicos que, habitualmente, têm lugar na galeria dos registos historiográficos. Por isso se considera a obra como uma experiência de releitura da História, ou seja, uma narrativa que perspetiva os acontecimentos históricos de um ponto de vista diferente do adotado pelos historiadores.</w:t>
            </w:r>
          </w:p>
          <w:p w:rsidR="005104EE" w:rsidRDefault="005104EE" w:rsidP="005104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b/>
                <w:bCs/>
                <w:sz w:val="19"/>
                <w:szCs w:val="19"/>
              </w:rPr>
            </w:pPr>
          </w:p>
          <w:p w:rsidR="005104EE" w:rsidRPr="003052FF" w:rsidRDefault="005104EE" w:rsidP="005104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bookmarkStart w:id="0" w:name="_GoBack"/>
            <w:bookmarkEnd w:id="0"/>
            <w:r w:rsidRPr="003052FF">
              <w:rPr>
                <w:rFonts w:cs="Arial"/>
                <w:b/>
                <w:bCs/>
                <w:sz w:val="19"/>
                <w:szCs w:val="19"/>
              </w:rPr>
              <w:t>Grupo II</w:t>
            </w:r>
          </w:p>
          <w:p w:rsidR="005104EE" w:rsidRPr="00EB028B" w:rsidRDefault="005104EE" w:rsidP="005104EE">
            <w:pPr>
              <w:widowControl w:val="0"/>
              <w:autoSpaceDE w:val="0"/>
              <w:autoSpaceDN w:val="0"/>
              <w:adjustRightInd w:val="0"/>
              <w:spacing w:before="40" w:after="0"/>
              <w:rPr>
                <w:rFonts w:cs="Arial"/>
                <w:color w:val="000000"/>
                <w:sz w:val="16"/>
                <w:szCs w:val="16"/>
              </w:rPr>
            </w:pPr>
            <w:r w:rsidRPr="00EB028B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EB028B">
              <w:rPr>
                <w:rFonts w:cs="Arial"/>
                <w:sz w:val="16"/>
                <w:szCs w:val="16"/>
              </w:rPr>
              <w:t xml:space="preserve">(B); </w:t>
            </w:r>
            <w:r w:rsidRPr="00EB028B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EB028B">
              <w:rPr>
                <w:rFonts w:cs="Arial"/>
                <w:sz w:val="16"/>
                <w:szCs w:val="16"/>
              </w:rPr>
              <w:t xml:space="preserve">(B); </w:t>
            </w:r>
            <w:r w:rsidRPr="00EB028B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EB028B">
              <w:rPr>
                <w:rFonts w:cs="Arial"/>
                <w:sz w:val="16"/>
                <w:szCs w:val="16"/>
              </w:rPr>
              <w:t xml:space="preserve">(A); </w:t>
            </w:r>
            <w:r w:rsidRPr="00EB028B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EB028B">
              <w:rPr>
                <w:rFonts w:cs="Arial"/>
                <w:sz w:val="16"/>
                <w:szCs w:val="16"/>
              </w:rPr>
              <w:t xml:space="preserve">(D); </w:t>
            </w:r>
            <w:r w:rsidRPr="00EB028B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EB028B">
              <w:rPr>
                <w:rFonts w:cs="Arial"/>
                <w:sz w:val="16"/>
                <w:szCs w:val="16"/>
              </w:rPr>
              <w:t xml:space="preserve">(C); </w:t>
            </w:r>
            <w:r w:rsidRPr="00EB028B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EB028B">
              <w:rPr>
                <w:rFonts w:cs="Arial"/>
                <w:sz w:val="16"/>
                <w:szCs w:val="16"/>
              </w:rPr>
              <w:t xml:space="preserve">(B); </w:t>
            </w:r>
            <w:r w:rsidRPr="00EB028B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EB028B">
              <w:rPr>
                <w:rFonts w:cs="Arial"/>
                <w:sz w:val="16"/>
                <w:szCs w:val="16"/>
              </w:rPr>
              <w:t>(A).</w:t>
            </w:r>
          </w:p>
          <w:p w:rsidR="005104EE" w:rsidRPr="00EB028B" w:rsidRDefault="005104EE" w:rsidP="005104EE">
            <w:pPr>
              <w:widowControl w:val="0"/>
              <w:autoSpaceDE w:val="0"/>
              <w:autoSpaceDN w:val="0"/>
              <w:adjustRightInd w:val="0"/>
              <w:spacing w:before="40" w:after="0"/>
              <w:rPr>
                <w:rFonts w:cs="Arial"/>
                <w:color w:val="000000"/>
                <w:sz w:val="16"/>
                <w:szCs w:val="16"/>
              </w:rPr>
            </w:pPr>
            <w:r w:rsidRPr="00EB028B">
              <w:rPr>
                <w:rFonts w:cs="Arial"/>
                <w:b/>
                <w:bCs/>
                <w:sz w:val="16"/>
                <w:szCs w:val="16"/>
              </w:rPr>
              <w:t xml:space="preserve">2.1. </w:t>
            </w:r>
            <w:r w:rsidRPr="00EB028B">
              <w:rPr>
                <w:rFonts w:cs="Arial"/>
                <w:sz w:val="16"/>
                <w:szCs w:val="16"/>
              </w:rPr>
              <w:t>A Academia sueca não nos pede explicações sobre como estamos a vivê-lo/sobre como o estamos a viver.</w:t>
            </w:r>
          </w:p>
          <w:p w:rsidR="005104EE" w:rsidRPr="00EB028B" w:rsidRDefault="005104EE" w:rsidP="005104EE">
            <w:pPr>
              <w:widowControl w:val="0"/>
              <w:autoSpaceDE w:val="0"/>
              <w:autoSpaceDN w:val="0"/>
              <w:adjustRightInd w:val="0"/>
              <w:spacing w:before="40" w:after="0"/>
              <w:rPr>
                <w:rFonts w:cs="Arial"/>
                <w:color w:val="000000"/>
                <w:sz w:val="16"/>
                <w:szCs w:val="16"/>
              </w:rPr>
            </w:pPr>
            <w:r w:rsidRPr="00EB028B">
              <w:rPr>
                <w:rFonts w:cs="Arial"/>
                <w:b/>
                <w:bCs/>
                <w:sz w:val="16"/>
                <w:szCs w:val="16"/>
              </w:rPr>
              <w:t xml:space="preserve">2.2. </w:t>
            </w:r>
            <w:r w:rsidRPr="00EB028B">
              <w:rPr>
                <w:rFonts w:cs="Arial"/>
                <w:sz w:val="16"/>
                <w:szCs w:val="16"/>
              </w:rPr>
              <w:t>Complemento direto.</w:t>
            </w:r>
          </w:p>
          <w:p w:rsidR="005104EE" w:rsidRPr="00EB028B" w:rsidRDefault="005104EE" w:rsidP="005104EE">
            <w:pPr>
              <w:widowControl w:val="0"/>
              <w:autoSpaceDE w:val="0"/>
              <w:autoSpaceDN w:val="0"/>
              <w:adjustRightInd w:val="0"/>
              <w:spacing w:before="40" w:after="0"/>
              <w:rPr>
                <w:rFonts w:cs="Arial"/>
                <w:color w:val="000000"/>
                <w:sz w:val="16"/>
                <w:szCs w:val="16"/>
              </w:rPr>
            </w:pPr>
            <w:r w:rsidRPr="00EB028B">
              <w:rPr>
                <w:rFonts w:cs="Arial"/>
                <w:b/>
                <w:bCs/>
                <w:sz w:val="16"/>
                <w:szCs w:val="16"/>
              </w:rPr>
              <w:t xml:space="preserve">2.3. </w:t>
            </w:r>
            <w:r w:rsidRPr="00EB028B">
              <w:rPr>
                <w:rFonts w:cs="Arial"/>
                <w:sz w:val="16"/>
                <w:szCs w:val="16"/>
              </w:rPr>
              <w:t>Ato ilocutório diretivo.</w:t>
            </w:r>
          </w:p>
          <w:p w:rsidR="005104EE" w:rsidRPr="003052FF" w:rsidRDefault="005104EE" w:rsidP="005104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2"/>
                <w:szCs w:val="12"/>
              </w:rPr>
            </w:pPr>
          </w:p>
          <w:p w:rsidR="005104EE" w:rsidRPr="003052FF" w:rsidRDefault="005104EE" w:rsidP="005104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>Grupo III</w:t>
            </w:r>
          </w:p>
          <w:p w:rsidR="005104EE" w:rsidRPr="003052FF" w:rsidRDefault="005104EE" w:rsidP="005104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</w:t>
            </w:r>
          </w:p>
          <w:p w:rsidR="00CF00F2" w:rsidRDefault="005104EE" w:rsidP="005104EE">
            <w:pPr>
              <w:tabs>
                <w:tab w:val="left" w:pos="357"/>
              </w:tabs>
              <w:spacing w:before="40"/>
              <w:ind w:left="357" w:hanging="357"/>
            </w:pP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Cf.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pp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>. 20-23: Critérios e níveis de desempenho para avaliação e classificação dos textos de reflexão no Exame Nacional.</w:t>
            </w:r>
          </w:p>
        </w:tc>
      </w:tr>
      <w:tr w:rsidR="00EB028B" w:rsidTr="00EB028B">
        <w:tc>
          <w:tcPr>
            <w:tcW w:w="4605" w:type="dxa"/>
          </w:tcPr>
          <w:p w:rsidR="00EB028B" w:rsidRDefault="00EB028B" w:rsidP="00EB028B">
            <w:pPr>
              <w:tabs>
                <w:tab w:val="left" w:pos="426"/>
              </w:tabs>
              <w:spacing w:before="40"/>
              <w:ind w:left="425" w:hanging="425"/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4.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Ao longo do excerto, o narrador complementa as suas funções de contador da história com algumas passagens reflexivas acerca da ação, nas quais produz juízos valorativos: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“porventura não foi tanta quanta devia ser” </w:t>
            </w:r>
            <w:r w:rsidRPr="003052FF">
              <w:rPr>
                <w:rFonts w:cs="Arial"/>
                <w:sz w:val="16"/>
                <w:szCs w:val="17"/>
              </w:rPr>
              <w:t xml:space="preserve">(l. 14),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“umas sublimes, outras tocantes” </w:t>
            </w:r>
            <w:r w:rsidRPr="003052FF">
              <w:rPr>
                <w:rFonts w:cs="Arial"/>
                <w:sz w:val="16"/>
                <w:szCs w:val="17"/>
              </w:rPr>
              <w:t>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 xml:space="preserve">. 18-19) 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“claro está, levou o seu tempo, e não foi pouco” </w:t>
            </w:r>
            <w:r w:rsidRPr="003052FF">
              <w:rPr>
                <w:rFonts w:cs="Arial"/>
                <w:sz w:val="16"/>
                <w:szCs w:val="17"/>
              </w:rPr>
              <w:t>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 xml:space="preserve">. 20-21). Faz-se, por vezes, porta-voz da cultura popular, proferindo sentenças de inspiração proverbial, como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“pela catadura se conhece o catacego.” </w:t>
            </w:r>
            <w:r w:rsidRPr="003052FF">
              <w:rPr>
                <w:rFonts w:cs="Arial"/>
                <w:sz w:val="16"/>
                <w:szCs w:val="17"/>
              </w:rPr>
              <w:t xml:space="preserve">(l. 4),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e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manifesta o seu domínio da matéria diegética ao fazer-se parte dos presentes na celebração (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“momento inesquecível, por muitos anos que eu viva.”</w:t>
            </w:r>
            <w:r w:rsidRPr="003052FF">
              <w:rPr>
                <w:rFonts w:cs="Arial"/>
                <w:sz w:val="16"/>
                <w:szCs w:val="17"/>
              </w:rPr>
              <w:t xml:space="preserve">, 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 xml:space="preserve">. 23-24), e anunciando, em breve prolepse, acontecimentos futuros: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“ou não cairia Álvaro Diogo de trinta metros daqui a poucos meses” </w:t>
            </w:r>
            <w:r w:rsidRPr="003052FF">
              <w:rPr>
                <w:rFonts w:cs="Arial"/>
                <w:sz w:val="16"/>
                <w:szCs w:val="17"/>
              </w:rPr>
              <w:t>(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ll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>. 14-15).</w:t>
            </w:r>
          </w:p>
        </w:tc>
        <w:tc>
          <w:tcPr>
            <w:tcW w:w="4605" w:type="dxa"/>
          </w:tcPr>
          <w:p w:rsidR="00EB028B" w:rsidRPr="003052FF" w:rsidRDefault="00EB028B" w:rsidP="00EB028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2"/>
                <w:szCs w:val="12"/>
              </w:rPr>
            </w:pPr>
          </w:p>
          <w:p w:rsidR="00EB028B" w:rsidRDefault="00EB028B" w:rsidP="00EB028B"/>
        </w:tc>
      </w:tr>
    </w:tbl>
    <w:p w:rsidR="000A31C6" w:rsidRPr="002D1901" w:rsidRDefault="000A31C6" w:rsidP="0043516C">
      <w:pPr>
        <w:pStyle w:val="NoSpacing"/>
        <w:rPr>
          <w:sz w:val="2"/>
        </w:rPr>
      </w:pPr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5104EE" w:rsidRPr="005104EE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104EE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Pages>1</Pages>
  <Words>664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2012-05-17T16:34:00Z</dcterms:modified>
</cp:coreProperties>
</file>