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B8" w:rsidRDefault="009E0FB8" w:rsidP="006932EA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PROPOSTAS DE RESOLUÇÃO</w:t>
      </w:r>
    </w:p>
    <w:p w:rsidR="00DD0F05" w:rsidRPr="00297D47" w:rsidRDefault="00464CCA" w:rsidP="006932EA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Teste de avaliação 5</w:t>
      </w:r>
      <w:r w:rsidR="009E0FB8">
        <w:rPr>
          <w:b/>
          <w:sz w:val="28"/>
        </w:rPr>
        <w:t>A</w:t>
      </w:r>
      <w:bookmarkStart w:id="0" w:name="_GoBack"/>
      <w:bookmarkEnd w:id="0"/>
    </w:p>
    <w:p w:rsidR="00297D47" w:rsidRDefault="00297D47" w:rsidP="008F2274">
      <w:pPr>
        <w:jc w:val="both"/>
        <w:rPr>
          <w:b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1.1.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O comércio interno era realizado dentro do reino e tinha por base a troca direta, a compra e a venda de produtos feitas ao ar livre no centro das localidades. 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1.2.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Assistiu-se ao aumento da realização de mercados e de feiras porque os reis passaram a apoiar as feiras de modo a estimular o comércio e a povoar e desenvolver o território. 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1.3.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O comércio interno era desenvolvido dentro do reino e o comércio externo era estabelecido entre dois reinos através de importações e exportações. 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2.1.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A nobreza e o clero, que eram os grupos privilegiados, e o povo. 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3.1. </w:t>
      </w: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>1.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 Casa do senhor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 xml:space="preserve">2.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Bosque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 xml:space="preserve">3.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Moinho do senhor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>4.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 Reserva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 xml:space="preserve">5.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Igreja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>6.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 Manso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>7.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 Aldeia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3.2.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Um senhorio ou domínio senhorial era uma grande propriedade atribuída pelo rei a um nobre, no qual o senhor usufruía de amplos poderes e privilégios.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4.1.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O clero dedicava-se à prática religiosa: rezar, celebrar missas, batizados, casamentos, etc. Dedicava-se também ao ensino e ao auxílio dos mais pobres.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5.1.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Os reis criavam concelhos para povoar e garantir a exploração da terra, recebendo tributos, e para fixar os direitos e deveres da população, diminuindo o poder dos senhores nobres e do alto clero.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5.2.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O documento que concedia autonomia aos moradores dos concelhos era a carta de foral.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5.3.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O pelourinho era colocado num local público, onde se aplicavam as sanções a quem desrespeitava as leis.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br/>
        <w:t>Era um dos símbolos dos concelhos.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tbl>
      <w:tblPr>
        <w:tblStyle w:val="TableGrid"/>
        <w:tblpPr w:leftFromText="180" w:rightFromText="180" w:vertAnchor="page" w:horzAnchor="margin" w:tblpY="2056"/>
        <w:tblW w:w="0" w:type="auto"/>
        <w:tblLayout w:type="fixed"/>
        <w:tblLook w:val="0000" w:firstRow="0" w:lastRow="0" w:firstColumn="0" w:lastColumn="0" w:noHBand="0" w:noVBand="0"/>
      </w:tblPr>
      <w:tblGrid>
        <w:gridCol w:w="2137"/>
        <w:gridCol w:w="2138"/>
      </w:tblGrid>
      <w:tr w:rsidR="00464CCA" w:rsidRPr="00464CCA" w:rsidTr="00464CCA">
        <w:trPr>
          <w:trHeight w:val="388"/>
        </w:trPr>
        <w:tc>
          <w:tcPr>
            <w:tcW w:w="2137" w:type="dxa"/>
            <w:shd w:val="clear" w:color="auto" w:fill="FFC000"/>
            <w:vAlign w:val="center"/>
          </w:tcPr>
          <w:p w:rsidR="00464CCA" w:rsidRDefault="00464CCA" w:rsidP="00464CCA">
            <w:pPr>
              <w:jc w:val="center"/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</w:pPr>
            <w:r w:rsidRPr="00464CCA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lastRenderedPageBreak/>
              <w:t>Fig. 6</w:t>
            </w:r>
          </w:p>
          <w:p w:rsidR="00464CCA" w:rsidRPr="00464CCA" w:rsidRDefault="00464CCA" w:rsidP="00464CCA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464CCA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Arte românica</w:t>
            </w:r>
          </w:p>
        </w:tc>
        <w:tc>
          <w:tcPr>
            <w:tcW w:w="2138" w:type="dxa"/>
            <w:shd w:val="clear" w:color="auto" w:fill="FFC000"/>
            <w:vAlign w:val="center"/>
          </w:tcPr>
          <w:p w:rsidR="00464CCA" w:rsidRDefault="00464CCA" w:rsidP="00464CCA">
            <w:pPr>
              <w:jc w:val="center"/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</w:pPr>
            <w:r w:rsidRPr="00464CCA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Fig. 7</w:t>
            </w:r>
          </w:p>
          <w:p w:rsidR="00464CCA" w:rsidRPr="00464CCA" w:rsidRDefault="00464CCA" w:rsidP="00464CCA">
            <w:pPr>
              <w:jc w:val="center"/>
              <w:rPr>
                <w:rFonts w:cs="Arial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464CCA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Arte gótica</w:t>
            </w:r>
          </w:p>
        </w:tc>
      </w:tr>
      <w:tr w:rsidR="00464CCA" w:rsidRPr="00464CCA" w:rsidTr="00464CCA">
        <w:trPr>
          <w:trHeight w:val="755"/>
        </w:trPr>
        <w:tc>
          <w:tcPr>
            <w:tcW w:w="2137" w:type="dxa"/>
          </w:tcPr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Parede fortes.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before="113"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Janelas pequenas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e estreitas.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before="113"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Utilização de arcos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de volta perfeita.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before="113"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Tetos em abóbada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de berço.</w:t>
            </w:r>
          </w:p>
        </w:tc>
        <w:tc>
          <w:tcPr>
            <w:tcW w:w="2138" w:type="dxa"/>
          </w:tcPr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before="113"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 xml:space="preserve">Paredes mais finas 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e mais altas.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before="113"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 xml:space="preserve">Utilização de arcos 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quebrados.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before="113"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Utilização de abóbadas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em ogiva.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before="113" w:line="220" w:lineRule="atLeast"/>
              <w:jc w:val="both"/>
              <w:textAlignment w:val="center"/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 xml:space="preserve">Janelas mais largas, </w:t>
            </w:r>
          </w:p>
          <w:p w:rsidR="00464CCA" w:rsidRPr="00464CCA" w:rsidRDefault="00464CCA" w:rsidP="00464CCA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u w:val="single"/>
                <w:lang w:val="pt-BR"/>
              </w:rPr>
            </w:pPr>
            <w:r w:rsidRPr="00464CCA">
              <w:rPr>
                <w:rFonts w:cs="Arial"/>
                <w:color w:val="000000"/>
                <w:w w:val="90"/>
                <w:sz w:val="20"/>
                <w:szCs w:val="20"/>
                <w:u w:val="single"/>
                <w:lang w:val="pt-BR"/>
              </w:rPr>
              <w:t>com vitrais.</w:t>
            </w:r>
          </w:p>
        </w:tc>
      </w:tr>
    </w:tbl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6.1. 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8F2274" w:rsidRPr="00464CCA" w:rsidRDefault="008F2274" w:rsidP="00464CCA">
      <w:pPr>
        <w:jc w:val="both"/>
        <w:rPr>
          <w:b/>
          <w:sz w:val="20"/>
          <w:szCs w:val="20"/>
          <w:lang w:val="pt-BR"/>
        </w:rPr>
      </w:pPr>
    </w:p>
    <w:p w:rsidR="00464CCA" w:rsidRPr="00464CCA" w:rsidRDefault="00464CCA" w:rsidP="00464CCA">
      <w:pPr>
        <w:jc w:val="both"/>
        <w:rPr>
          <w:b/>
          <w:sz w:val="20"/>
          <w:szCs w:val="20"/>
          <w:lang w:val="pt-BR"/>
        </w:rPr>
      </w:pPr>
    </w:p>
    <w:p w:rsidR="00464CCA" w:rsidRPr="00464CCA" w:rsidRDefault="00464CCA" w:rsidP="00464CCA">
      <w:pPr>
        <w:jc w:val="both"/>
        <w:rPr>
          <w:b/>
          <w:sz w:val="20"/>
          <w:szCs w:val="20"/>
          <w:lang w:val="pt-BR"/>
        </w:rPr>
      </w:pPr>
    </w:p>
    <w:p w:rsidR="00464CCA" w:rsidRPr="00464CCA" w:rsidRDefault="00464CCA" w:rsidP="00464CCA">
      <w:pPr>
        <w:jc w:val="both"/>
        <w:rPr>
          <w:b/>
          <w:sz w:val="20"/>
          <w:szCs w:val="20"/>
          <w:lang w:val="pt-BR"/>
        </w:rPr>
      </w:pPr>
    </w:p>
    <w:p w:rsidR="00464CCA" w:rsidRPr="00464CCA" w:rsidRDefault="00464CCA" w:rsidP="00464CCA">
      <w:pPr>
        <w:jc w:val="both"/>
        <w:rPr>
          <w:b/>
          <w:sz w:val="20"/>
          <w:szCs w:val="20"/>
          <w:lang w:val="pt-BR"/>
        </w:rPr>
      </w:pPr>
    </w:p>
    <w:p w:rsidR="00464CCA" w:rsidRPr="00464CCA" w:rsidRDefault="00464CCA" w:rsidP="00464CCA">
      <w:pPr>
        <w:jc w:val="both"/>
        <w:rPr>
          <w:b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227" w:line="220" w:lineRule="atLeast"/>
        <w:jc w:val="both"/>
        <w:textAlignment w:val="center"/>
        <w:rPr>
          <w:b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227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7.1.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D. Fernando não queria que o Reino de Portugal se juntasse a Castela, por isso, e de acordo com o Tratado de Salvaterra de Magos, quando ele morresse ficaria D. Leonor como regente até que o filho de D. Beatriz tivesse 14 anos.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20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7.2.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Depois da morte de D. Fernando houve um problema de sucessão porque D. Leonor não cumpriu o que estava estipulado no Tratado de Salvaterra de Magos, aproximou-se dos nobres galegos e proclamou D. Beatriz como rainha de Portugal.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>8.</w:t>
      </w: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D. João, Mestre de Avis</w:t>
      </w:r>
      <w:r w:rsidRPr="00464CCA">
        <w:rPr>
          <w:rFonts w:cs="Arial"/>
          <w:b/>
          <w:color w:val="000000"/>
          <w:w w:val="90"/>
          <w:sz w:val="20"/>
          <w:szCs w:val="20"/>
          <w:lang w:val="pt-BR"/>
        </w:rPr>
        <w:t xml:space="preserve"> –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D. João I de Portugal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color w:val="000000"/>
          <w:w w:val="90"/>
          <w:sz w:val="20"/>
          <w:szCs w:val="20"/>
          <w:lang w:val="pt-BR"/>
        </w:rPr>
        <w:tab/>
        <w:t>D. Nuno Álvares Pereira</w:t>
      </w:r>
      <w:r w:rsidRPr="00464CCA">
        <w:rPr>
          <w:rFonts w:cs="Arial"/>
          <w:b/>
          <w:color w:val="000000"/>
          <w:w w:val="90"/>
          <w:sz w:val="20"/>
          <w:szCs w:val="20"/>
          <w:lang w:val="pt-BR"/>
        </w:rPr>
        <w:t xml:space="preserve"> –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Condestável do Reino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color w:val="000000"/>
          <w:w w:val="90"/>
          <w:sz w:val="20"/>
          <w:szCs w:val="20"/>
          <w:lang w:val="pt-BR"/>
        </w:rPr>
        <w:tab/>
        <w:t>Cerco de Lisboa</w:t>
      </w:r>
      <w:r w:rsidRPr="00464CCA">
        <w:rPr>
          <w:rFonts w:cs="Arial"/>
          <w:b/>
          <w:color w:val="000000"/>
          <w:w w:val="90"/>
          <w:sz w:val="20"/>
          <w:szCs w:val="20"/>
          <w:lang w:val="pt-BR"/>
        </w:rPr>
        <w:t xml:space="preserve"> –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29 de maio de 1384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color w:val="000000"/>
          <w:w w:val="90"/>
          <w:sz w:val="20"/>
          <w:szCs w:val="20"/>
          <w:lang w:val="pt-BR"/>
        </w:rPr>
        <w:tab/>
        <w:t xml:space="preserve">Batalha dos Atoleiros </w:t>
      </w:r>
      <w:r w:rsidRPr="00464CCA">
        <w:rPr>
          <w:rFonts w:cs="Arial"/>
          <w:b/>
          <w:color w:val="000000"/>
          <w:w w:val="90"/>
          <w:sz w:val="20"/>
          <w:szCs w:val="20"/>
          <w:lang w:val="pt-BR"/>
        </w:rPr>
        <w:t>–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 xml:space="preserve"> Abril de 1384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color w:val="000000"/>
          <w:w w:val="90"/>
          <w:sz w:val="20"/>
          <w:szCs w:val="20"/>
          <w:lang w:val="pt-BR"/>
        </w:rPr>
        <w:tab/>
        <w:t xml:space="preserve">Batalha de Aljubarrota </w:t>
      </w:r>
      <w:r w:rsidRPr="00464CCA">
        <w:rPr>
          <w:rFonts w:cs="Arial"/>
          <w:b/>
          <w:color w:val="000000"/>
          <w:w w:val="90"/>
          <w:sz w:val="20"/>
          <w:szCs w:val="20"/>
          <w:lang w:val="pt-BR"/>
        </w:rPr>
        <w:t xml:space="preserve">–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14 de agosto de 1385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9.1.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Foi proferido nas Cortes de Coimbra.</w:t>
      </w: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:rsidR="00464CCA" w:rsidRPr="00464CCA" w:rsidRDefault="00464CCA" w:rsidP="00464CCA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464CCA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10. </w:t>
      </w:r>
      <w:r w:rsidRPr="00464CCA">
        <w:rPr>
          <w:rFonts w:cs="Arial"/>
          <w:color w:val="000000"/>
          <w:w w:val="90"/>
          <w:sz w:val="20"/>
          <w:szCs w:val="20"/>
          <w:lang w:val="pt-BR"/>
        </w:rPr>
        <w:t>Os membros da grande nobreza e o alto clero que tinham apoiado Castela foram expulsos de Portugal e as suas terras confiscadas. Estas terras foram distribuídas pela nova nobreza, mais empreendedora e mais ativa, que tinha apoiado o Mestre de Avis. Também a burguesia saiu beneficiada, pois ocupou os postos mais influentes do reino.</w:t>
      </w:r>
    </w:p>
    <w:p w:rsidR="00464CCA" w:rsidRPr="008F2274" w:rsidRDefault="00464CCA">
      <w:pPr>
        <w:rPr>
          <w:b/>
          <w:lang w:val="pt-BR"/>
        </w:rPr>
      </w:pPr>
    </w:p>
    <w:sectPr w:rsidR="00464CCA" w:rsidRPr="008F2274" w:rsidSect="00C75AEB">
      <w:headerReference w:type="default" r:id="rId7"/>
      <w:footerReference w:type="default" r:id="rId8"/>
      <w:type w:val="continuous"/>
      <w:pgSz w:w="11906" w:h="16838"/>
      <w:pgMar w:top="1417" w:right="1701" w:bottom="1417" w:left="1701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B8" w:rsidRDefault="009E0FB8" w:rsidP="009E0FB8">
      <w:pPr>
        <w:spacing w:after="0" w:line="240" w:lineRule="auto"/>
      </w:pPr>
      <w:r>
        <w:separator/>
      </w:r>
    </w:p>
  </w:endnote>
  <w:end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41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0FB8" w:rsidRDefault="009E0FB8" w:rsidP="009E0FB8">
        <w:pPr>
          <w:pStyle w:val="Footer"/>
          <w:rPr>
            <w:noProof/>
          </w:rPr>
        </w:pPr>
        <w:r w:rsidRPr="00AA4B51">
          <w:rPr>
            <w:rFonts w:cs="Arial"/>
            <w:color w:val="7F7F7F"/>
            <w:sz w:val="16"/>
            <w:szCs w:val="16"/>
            <w:lang w:eastAsia="pt-PT"/>
          </w:rPr>
          <w:t xml:space="preserve">© </w:t>
        </w:r>
        <w:r w:rsidRPr="00AA4B51">
          <w:rPr>
            <w:rFonts w:cs="Arial"/>
            <w:color w:val="7F7F7F"/>
            <w:sz w:val="16"/>
            <w:szCs w:val="16"/>
          </w:rPr>
          <w:t>Areal Editores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32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E0FB8" w:rsidRDefault="009E0FB8">
    <w:pPr>
      <w:pStyle w:val="Footer"/>
    </w:pPr>
  </w:p>
  <w:p w:rsidR="009E0FB8" w:rsidRDefault="009E0F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B8" w:rsidRDefault="009E0FB8" w:rsidP="009E0FB8">
      <w:pPr>
        <w:spacing w:after="0" w:line="240" w:lineRule="auto"/>
      </w:pPr>
      <w:r>
        <w:separator/>
      </w:r>
    </w:p>
  </w:footnote>
  <w:foot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B8" w:rsidRPr="004B5622" w:rsidRDefault="009E0FB8" w:rsidP="009E0FB8">
    <w:pPr>
      <w:pStyle w:val="Header"/>
      <w:rPr>
        <w:rFonts w:cs="Arial"/>
        <w:sz w:val="16"/>
      </w:rPr>
    </w:pPr>
    <w:r w:rsidRPr="004B5622">
      <w:rPr>
        <w:rFonts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094DD02B" wp14:editId="0937A511">
          <wp:simplePos x="0" y="0"/>
          <wp:positionH relativeFrom="column">
            <wp:posOffset>4853940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Square wrapText="bothSides"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622">
      <w:rPr>
        <w:rFonts w:cs="Arial"/>
        <w:b/>
        <w:sz w:val="16"/>
      </w:rPr>
      <w:t>DOSSIÊ DO PROFESSOR</w:t>
    </w:r>
    <w:r w:rsidRPr="004B5622">
      <w:rPr>
        <w:rFonts w:cs="Arial"/>
        <w:sz w:val="16"/>
      </w:rPr>
      <w:t xml:space="preserve"> </w:t>
    </w:r>
    <w:r w:rsidRPr="004B5622">
      <w:rPr>
        <w:rFonts w:cs="Arial"/>
        <w:i/>
        <w:sz w:val="16"/>
      </w:rPr>
      <w:t>CONHECER PORTUGAL</w:t>
    </w:r>
    <w:r w:rsidRPr="004B5622">
      <w:rPr>
        <w:rFonts w:cs="Arial"/>
        <w:sz w:val="16"/>
      </w:rPr>
      <w:t xml:space="preserve"> 5</w:t>
    </w:r>
  </w:p>
  <w:p w:rsidR="009E0FB8" w:rsidRPr="004B5622" w:rsidRDefault="009E0FB8" w:rsidP="009E0FB8">
    <w:pPr>
      <w:pStyle w:val="Header"/>
      <w:rPr>
        <w:rFonts w:cs="Arial"/>
        <w:sz w:val="16"/>
      </w:rPr>
    </w:pPr>
    <w:r>
      <w:rPr>
        <w:rFonts w:cs="Arial"/>
        <w:sz w:val="16"/>
      </w:rPr>
      <w:t>AVALIAÇÃO</w:t>
    </w:r>
  </w:p>
  <w:p w:rsidR="009E0FB8" w:rsidRDefault="009E0FB8">
    <w:pPr>
      <w:pStyle w:val="Header"/>
    </w:pPr>
  </w:p>
  <w:p w:rsidR="009E0FB8" w:rsidRDefault="009E0F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555A"/>
    <w:multiLevelType w:val="multilevel"/>
    <w:tmpl w:val="5BD20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C475D8"/>
    <w:multiLevelType w:val="multilevel"/>
    <w:tmpl w:val="8C9CA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59E6287E"/>
    <w:multiLevelType w:val="multilevel"/>
    <w:tmpl w:val="2206A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9C"/>
    <w:rsid w:val="00156581"/>
    <w:rsid w:val="001B319C"/>
    <w:rsid w:val="00235683"/>
    <w:rsid w:val="00297D47"/>
    <w:rsid w:val="00434E71"/>
    <w:rsid w:val="00464CCA"/>
    <w:rsid w:val="006932EA"/>
    <w:rsid w:val="008F2274"/>
    <w:rsid w:val="008F5D6F"/>
    <w:rsid w:val="009E0FB8"/>
    <w:rsid w:val="00B52B79"/>
    <w:rsid w:val="00C75AEB"/>
    <w:rsid w:val="00DD0F05"/>
    <w:rsid w:val="00E0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5B4F4-AC24-486D-B034-077CFD37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B8"/>
  </w:style>
  <w:style w:type="paragraph" w:styleId="Footer">
    <w:name w:val="footer"/>
    <w:basedOn w:val="Normal"/>
    <w:link w:val="Foot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B8"/>
  </w:style>
  <w:style w:type="paragraph" w:styleId="ListParagraph">
    <w:name w:val="List Paragraph"/>
    <w:basedOn w:val="Normal"/>
    <w:uiPriority w:val="34"/>
    <w:qFormat/>
    <w:rsid w:val="009E0FB8"/>
    <w:pPr>
      <w:ind w:left="720"/>
      <w:contextualSpacing/>
    </w:pPr>
  </w:style>
  <w:style w:type="paragraph" w:customStyle="1" w:styleId="9-Solues">
    <w:name w:val="9-Soluções"/>
    <w:basedOn w:val="Normal"/>
    <w:uiPriority w:val="99"/>
    <w:rsid w:val="00235683"/>
    <w:pPr>
      <w:widowControl w:val="0"/>
      <w:tabs>
        <w:tab w:val="left" w:pos="454"/>
      </w:tabs>
      <w:autoSpaceDE w:val="0"/>
      <w:autoSpaceDN w:val="0"/>
      <w:adjustRightInd w:val="0"/>
      <w:spacing w:after="0" w:line="220" w:lineRule="atLeast"/>
      <w:textAlignment w:val="center"/>
    </w:pPr>
    <w:rPr>
      <w:rFonts w:ascii="ArialMT" w:hAnsi="ArialMT" w:cs="ArialMT"/>
      <w:color w:val="000000"/>
      <w:sz w:val="18"/>
      <w:szCs w:val="18"/>
      <w:lang w:val="pt-BR"/>
    </w:rPr>
  </w:style>
  <w:style w:type="table" w:styleId="TableGrid">
    <w:name w:val="Table Grid"/>
    <w:basedOn w:val="TableNormal"/>
    <w:uiPriority w:val="59"/>
    <w:rsid w:val="00E0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444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11</cp:revision>
  <dcterms:created xsi:type="dcterms:W3CDTF">2016-04-12T14:05:00Z</dcterms:created>
  <dcterms:modified xsi:type="dcterms:W3CDTF">2016-06-23T15:09:00Z</dcterms:modified>
</cp:coreProperties>
</file>