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D51927" w:rsidRDefault="00D51927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D51927">
        <w:rPr>
          <w:rFonts w:ascii="Arial Narrow" w:hAnsi="Arial Narrow" w:cs="DINOT-Black"/>
          <w:b/>
          <w:color w:val="224265"/>
        </w:rPr>
        <w:t>FICHAS DE AVALIAÇÃO – NÍVEL I</w:t>
      </w:r>
    </w:p>
    <w:p w:rsidR="00533C7F" w:rsidRDefault="00533C7F" w:rsidP="000751FB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5 – REPRODUÇÃO HUMANA E NAS PLANTAS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 </w:t>
      </w:r>
    </w:p>
    <w:p w:rsidR="00D51927" w:rsidRPr="00533C7F" w:rsidRDefault="00533C7F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b/>
          <w:bCs/>
          <w:sz w:val="20"/>
          <w:szCs w:val="20"/>
        </w:rPr>
        <w:t>GRUPO I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 </w:t>
      </w:r>
    </w:p>
    <w:p w:rsidR="00D51927" w:rsidRPr="00533C7F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1.1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D51927" w:rsidRPr="00533C7F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1.2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B, D,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 G. </w:t>
      </w:r>
    </w:p>
    <w:p w:rsidR="00D51927" w:rsidRP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2.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Escroto – 5; Canal deferente – 1; Pénis – 2; Vesícula seminal – 6; Testículo – 4. </w:t>
      </w:r>
    </w:p>
    <w:p w:rsidR="00D51927" w:rsidRP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Vulva – 5; Trompa de Falópio – 6; Vagina – 4; Útero – 2.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4.1 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A, D, E, F e H.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4.2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Menstruação – É o fluxo sanguíneo que expulsa o oócito não fecundado e parte do endométrio. </w:t>
      </w:r>
    </w:p>
    <w:p w:rsidR="000751FB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>Ovulação – Corresponde ao momento em que o oócito é libertado pelo ovário.</w:t>
      </w:r>
    </w:p>
    <w:p w:rsidR="00D51927" w:rsidRPr="00533C7F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4.3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5.1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2 – saco amniótico; 4 – cordão umbilical; 5 – feto.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 bebé deve receber afeto e os pais devem zelar pela sua segurança. </w:t>
      </w:r>
    </w:p>
    <w:p w:rsidR="00D51927" w:rsidRPr="00533C7F" w:rsidRDefault="00533C7F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>GRUPO I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I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2.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3.1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Polinização </w:t>
      </w:r>
    </w:p>
    <w:p w:rsidR="000751FB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 – Fecundação </w:t>
      </w:r>
    </w:p>
    <w:p w:rsidR="000751FB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C – Frutificação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3.2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1 – Polinização </w:t>
      </w:r>
    </w:p>
    <w:p w:rsidR="000751FB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2 – Frutificação </w:t>
      </w:r>
    </w:p>
    <w:p w:rsidR="00D51927" w:rsidRPr="00533C7F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3 – Fecundação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4.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Verdadeiras: C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D51927" w:rsidRPr="00533C7F" w:rsidRDefault="000751FB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Falsas: A, B e D. </w:t>
      </w:r>
    </w:p>
    <w:p w:rsidR="000751FB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5.1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A. O pericarpo é rico em substâncias de reserva. </w:t>
      </w:r>
    </w:p>
    <w:p w:rsidR="00D51927" w:rsidRPr="00533C7F" w:rsidRDefault="00D51927" w:rsidP="000751F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5.2 </w:t>
      </w:r>
      <w:r w:rsidRPr="00533C7F">
        <w:rPr>
          <w:rFonts w:ascii="Arial Narrow" w:hAnsi="Arial Narrow" w:cs="DINOT-Bold"/>
          <w:sz w:val="20"/>
          <w:szCs w:val="20"/>
        </w:rPr>
        <w:t xml:space="preserve">Por exemplo, A e B.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</w:t>
      </w:r>
      <w:r w:rsidR="000751F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D – B – C – A </w:t>
      </w:r>
      <w:bookmarkStart w:id="0" w:name="_GoBack"/>
      <w:bookmarkEnd w:id="0"/>
    </w:p>
    <w:sectPr w:rsidR="00533C7F" w:rsidSect="000751F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7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1664">
      <w:pPr>
        <w:spacing w:after="0"/>
      </w:pPr>
      <w:r>
        <w:separator/>
      </w:r>
    </w:p>
  </w:endnote>
  <w:endnote w:type="continuationSeparator" w:id="0">
    <w:p w:rsidR="00000000" w:rsidRDefault="00C416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5D126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C4166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C4166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C4166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1664">
      <w:pPr>
        <w:spacing w:after="0"/>
      </w:pPr>
      <w:r>
        <w:separator/>
      </w:r>
    </w:p>
  </w:footnote>
  <w:footnote w:type="continuationSeparator" w:id="0">
    <w:p w:rsidR="00000000" w:rsidRDefault="00C416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C41664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41664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57769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1264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664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BBEB441"/>
  <w15:docId w15:val="{8688207D-11CB-4A83-9B3B-DE83F433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2017-07-10T14:42:00Z</dcterms:created>
  <dcterms:modified xsi:type="dcterms:W3CDTF">2017-07-20T09:23:00Z</dcterms:modified>
</cp:coreProperties>
</file>