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CDF" w:rsidRDefault="00340CDF" w:rsidP="00727FE7">
      <w:bookmarkStart w:id="0" w:name="_GoBack"/>
      <w:bookmarkEnd w:id="0"/>
    </w:p>
    <w:p w:rsidR="00727FE7" w:rsidRPr="008973C5" w:rsidRDefault="00727FE7" w:rsidP="00727FE7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340CD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8</w:t>
                            </w:r>
                          </w:p>
                          <w:p w:rsidR="00FD370C" w:rsidRPr="008973C5" w:rsidRDefault="00FD370C" w:rsidP="00340CD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Área de polígonos regulares</w:t>
                            </w:r>
                          </w:p>
                          <w:p w:rsidR="00FD370C" w:rsidRDefault="00FD370C" w:rsidP="00727F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DGhqvL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340CD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8</w:t>
                      </w:r>
                    </w:p>
                    <w:p w:rsidR="00FD370C" w:rsidRPr="008973C5" w:rsidRDefault="00FD370C" w:rsidP="00340CD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Área de polígonos regulares</w:t>
                      </w:r>
                    </w:p>
                    <w:p w:rsidR="00FD370C" w:rsidRDefault="00FD370C" w:rsidP="00727FE7"/>
                  </w:txbxContent>
                </v:textbox>
                <w10:anchorlock/>
              </v:roundrect>
            </w:pict>
          </mc:Fallback>
        </mc:AlternateContent>
      </w:r>
    </w:p>
    <w:p w:rsidR="00727FE7" w:rsidRDefault="00727FE7" w:rsidP="00340CDF">
      <w:pPr>
        <w:pStyle w:val="NormalA"/>
        <w:spacing w:after="240"/>
      </w:pPr>
      <w:r w:rsidRPr="008973C5">
        <w:t xml:space="preserve">  NOME: _________________________________________ N.º:______ TURMA: _________ DATA: __________</w:t>
      </w:r>
    </w:p>
    <w:p w:rsidR="00340CDF" w:rsidRPr="008973C5" w:rsidRDefault="00340CDF" w:rsidP="00340CDF">
      <w:pPr>
        <w:pStyle w:val="NormalA"/>
        <w:spacing w:after="240"/>
      </w:pPr>
    </w:p>
    <w:p w:rsidR="00727FE7" w:rsidRPr="008973C5" w:rsidRDefault="00340CDF" w:rsidP="00340CDF">
      <w:pPr>
        <w:spacing w:after="240"/>
      </w:pPr>
      <w:r w:rsidRPr="008973C5">
        <w:rPr>
          <w:b/>
          <w:noProof/>
        </w:rPr>
        <w:drawing>
          <wp:anchor distT="0" distB="0" distL="114300" distR="114300" simplePos="0" relativeHeight="251649024" behindDoc="0" locked="0" layoutInCell="1" allowOverlap="1" wp14:anchorId="237BA8DC" wp14:editId="5A09D45D">
            <wp:simplePos x="0" y="0"/>
            <wp:positionH relativeFrom="column">
              <wp:posOffset>4225925</wp:posOffset>
            </wp:positionH>
            <wp:positionV relativeFrom="paragraph">
              <wp:posOffset>2059940</wp:posOffset>
            </wp:positionV>
            <wp:extent cx="1419225" cy="1581150"/>
            <wp:effectExtent l="0" t="0" r="9525" b="0"/>
            <wp:wrapNone/>
            <wp:docPr id="16" name="Picture 16" descr="C:\Users\Tukang Ketik\Desktop\New folder (2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73C5">
        <w:rPr>
          <w:noProof/>
        </w:rPr>
        <w:drawing>
          <wp:anchor distT="0" distB="0" distL="114300" distR="114300" simplePos="0" relativeHeight="251648000" behindDoc="0" locked="0" layoutInCell="1" allowOverlap="1" wp14:anchorId="65A76771" wp14:editId="62384353">
            <wp:simplePos x="0" y="0"/>
            <wp:positionH relativeFrom="column">
              <wp:posOffset>4135755</wp:posOffset>
            </wp:positionH>
            <wp:positionV relativeFrom="paragraph">
              <wp:posOffset>395605</wp:posOffset>
            </wp:positionV>
            <wp:extent cx="1535430" cy="1610360"/>
            <wp:effectExtent l="0" t="0" r="7620" b="8890"/>
            <wp:wrapNone/>
            <wp:docPr id="15" name="Picture 15" descr="C:\Users\Tukang Ketik\Desktop\New folder (2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5048250"/>
                <wp:effectExtent l="0" t="0" r="13335" b="19050"/>
                <wp:docPr id="641" name="Grupo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5048250"/>
                          <a:chOff x="0" y="0"/>
                          <a:chExt cx="5968365" cy="5191125"/>
                        </a:xfrm>
                      </wpg:grpSpPr>
                      <wps:wsp>
                        <wps:cNvPr id="12" name="Rounded Rectangle 12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727FE7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ound Same Side Corner Rectangle 13"/>
                        <wps:cNvSpPr/>
                        <wps:spPr bwMode="auto">
                          <a:xfrm rot="10800000">
                            <a:off x="0" y="247650"/>
                            <a:ext cx="5968365" cy="4943475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Área de polígonos regulares</w:t>
                              </w:r>
                            </w:p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</w:pPr>
                              <w:r w:rsidRPr="005F78C4">
                                <w:t>Um polígono é regular se tiver todos os seus lados e ângulos iguais, sejam eles internos ou externos.</w:t>
                              </w:r>
                            </w:p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</w:pPr>
                              <w:r w:rsidRPr="005F78C4">
                                <w:t>Unindo o centro do polígono a cada um dos seus vértices, decompomos o polígono em triângulos isósceles.</w:t>
                              </w:r>
                            </w:p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</w:pPr>
                              <w:r w:rsidRPr="005F78C4">
                                <w:t>O segmento que une o centro do polígono ao ponto médio dos seus lados é chamado de apótema (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>).</w:t>
                              </w:r>
                            </w:p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</w:pPr>
                              <w:r w:rsidRPr="005F78C4">
                                <w:t xml:space="preserve">Exemplo: </w:t>
                              </w:r>
                            </w:p>
                            <w:p w:rsidR="00FD370C" w:rsidRPr="005F78C4" w:rsidRDefault="00FD370C" w:rsidP="00EA5619">
                              <w:pPr>
                                <w:spacing w:after="100"/>
                                <w:ind w:right="3330"/>
                              </w:pPr>
                              <w:r w:rsidRPr="005F78C4">
                                <w:t>Determinar a área do pentágono regular, de duas maneiras diferentes.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1.º processo</w:t>
                              </w:r>
                            </w:p>
                            <w:p w:rsidR="00FD370C" w:rsidRPr="00976749" w:rsidRDefault="00FD370C" w:rsidP="00DD5C1C">
                              <w:pPr>
                                <w:spacing w:after="100"/>
                                <w:rPr>
                                  <w:rFonts w:eastAsiaTheme="minorEastAsia"/>
                                </w:rPr>
                              </w:pP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 w:rsidRPr="00FC5BBE">
                                <w:rPr>
                                  <w:rFonts w:eastAsiaTheme="minorEastAsia"/>
                                  <w:vertAlign w:val="subscript"/>
                                </w:rPr>
                                <w:t>triângulo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2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2,4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/>
                                        <w:sz w:val="22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x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/>
                                        <w:sz w:val="22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  <w:r>
                                <w:rPr>
                                  <w:rFonts w:eastAsiaTheme="minorEastAsia"/>
                                  <w:sz w:val="22"/>
                                </w:rPr>
                                <w:t xml:space="preserve"> 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>= 2,4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cm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>,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logo, </w:t>
                              </w:r>
                              <w:r w:rsidRPr="00E94E89"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 w:rsidRPr="00E94E89">
                                <w:rPr>
                                  <w:rFonts w:eastAsiaTheme="minorEastAsia"/>
                                  <w:vertAlign w:val="subscript"/>
                                </w:rPr>
                                <w:t>pentágono</w:t>
                              </w:r>
                              <w:r>
                                <w:rPr>
                                  <w:rFonts w:eastAsiaTheme="minorEastAsia"/>
                                  <w:vertAlign w:val="subscript"/>
                                </w:rPr>
                                <w:t xml:space="preserve"> </w:t>
                              </w:r>
                              <w:r w:rsidRPr="00E94E89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94E89"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 w:rsidRPr="00E94E89">
                                <w:rPr>
                                  <w:rFonts w:eastAsiaTheme="minorEastAsia"/>
                                  <w:vertAlign w:val="subscript"/>
                                </w:rPr>
                                <w:t>triângulo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</w:t>
                              </w:r>
                              <w:r w:rsidRPr="00E94E89">
                                <w:rPr>
                                  <w:rFonts w:eastAsiaTheme="minorEastAsia"/>
                                </w:rPr>
                                <w:t xml:space="preserve"> n.º de triângulos =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rFonts w:eastAsiaTheme="minorEastAsia"/>
                                </w:rPr>
                              </w:pPr>
                              <w:r w:rsidRPr="00782156">
                                <w:rPr>
                                  <w:rFonts w:eastAsiaTheme="minorEastAsia"/>
                                </w:rPr>
                                <w:t>= 2,4 cm</w:t>
                              </w:r>
                              <w:r w:rsidRPr="00782156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 xml:space="preserve"> 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 w:cs="Cambria Math" w:hint="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12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cm</w:t>
                              </w:r>
                              <w:r w:rsidRPr="00782156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2.º processo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rFonts w:eastAsiaTheme="minorEastAsia"/>
                                </w:rPr>
                              </w:pPr>
                              <w:r w:rsidRPr="00782156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782156">
                                <w:rPr>
                                  <w:rFonts w:eastAsiaTheme="minorEastAsia"/>
                                  <w:vertAlign w:val="subscript"/>
                                </w:rPr>
                                <w:t>pentágono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 xml:space="preserve">2,4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 xml:space="preserve"> 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782156">
                                <w:rPr>
                                  <w:rFonts w:eastAsiaTheme="minorEastAsia"/>
                                </w:rPr>
                                <w:t>12 cm,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logo,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i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pentágono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sz w:val="22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2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i/>
                                            <w:sz w:val="22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sz w:val="24"/>
                                          </w:rPr>
                                          <m:t>pentágono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  <w:sz w:val="22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×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  <w:i/>
                                  </w:rP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>12 cm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×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>2 cm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12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cm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w:p>
                            <w:p w:rsidR="00FD370C" w:rsidRPr="00782156" w:rsidRDefault="00FD370C" w:rsidP="00DD5C1C">
                              <w:pPr>
                                <w:spacing w:after="100"/>
                              </w:pPr>
                              <w:r w:rsidRPr="005F78C4">
                                <w:t>Portanto, a área do pentágono é 12 cm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  <w:p w:rsidR="00FD370C" w:rsidRPr="005F78C4" w:rsidRDefault="00FD370C" w:rsidP="00782156">
                              <w:pPr>
                                <w:spacing w:after="0"/>
                              </w:pPr>
                              <w:r w:rsidRPr="005F78C4">
                                <w:t>De um modo geral, podemos afirmar:</w:t>
                              </w:r>
                            </w:p>
                            <w:p w:rsidR="00FD370C" w:rsidRPr="005F78C4" w:rsidRDefault="00FD370C" w:rsidP="00DD5C1C">
                              <w:pPr>
                                <w:spacing w:after="100"/>
                              </w:pPr>
                              <w:r w:rsidRPr="005F78C4">
                                <w:t>A medida da área de um polígono regular é igual ao produto do semiperímetro pela medida do comprimento do apótema.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96"/>
                                <w:gridCol w:w="4496"/>
                              </w:tblGrid>
                              <w:tr w:rsidR="00FD370C" w:rsidRPr="005F78C4" w:rsidTr="00712E9D">
                                <w:tc>
                                  <w:tcPr>
                                    <w:tcW w:w="4496" w:type="dxa"/>
                                    <w:vAlign w:val="center"/>
                                  </w:tcPr>
                                  <w:p w:rsidR="00FD370C" w:rsidRPr="005F78C4" w:rsidRDefault="00FD370C" w:rsidP="00017E5F">
                                    <w:pPr>
                                      <w:spacing w:after="0"/>
                                      <w:rPr>
                                        <w:b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b/>
                                            <w:i/>
                                          </w:rPr>
                                          <m:t>A</m:t>
                                        </m:r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=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b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m:rPr>
                                                <m:nor/>
                                              </m:rPr>
                                              <w:rPr>
                                                <w:b/>
                                                <w:i/>
                                              </w:rPr>
                                              <m:t>P</m:t>
                                            </m:r>
                                          </m:num>
                                          <m:den>
                                            <m:r>
                                              <m:rPr>
                                                <m:sty m:val="bi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 xml:space="preserve"> × </m:t>
                                        </m:r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b/>
                                            <w:i/>
                                          </w:rPr>
                                          <m:t>a</m:t>
                                        </m:r>
                                      </m:oMath>
                                    </m:oMathPara>
                                  </w:p>
                                </w:tc>
                                <w:tc>
                                  <w:tcPr>
                                    <w:tcW w:w="4496" w:type="dxa"/>
                                    <w:vAlign w:val="center"/>
                                  </w:tcPr>
                                  <w:p w:rsidR="00FD370C" w:rsidRPr="005F78C4" w:rsidRDefault="00FD370C" w:rsidP="00017E5F">
                                    <w:pPr>
                                      <w:spacing w:after="0"/>
                                    </w:pPr>
                                    <w:r w:rsidRPr="005F78C4">
                                      <w:rPr>
                                        <w:i/>
                                      </w:rPr>
                                      <w:t>P</w:t>
                                    </w:r>
                                    <w:r w:rsidRPr="005F78C4">
                                      <w:t xml:space="preserve"> — Medida do perímetro do polígono regular </w:t>
                                    </w:r>
                                  </w:p>
                                  <w:p w:rsidR="00FD370C" w:rsidRPr="005F78C4" w:rsidRDefault="00FD370C" w:rsidP="00017E5F">
                                    <w:pPr>
                                      <w:spacing w:after="0"/>
                                    </w:pPr>
                                    <w:r w:rsidRPr="006910DC">
                                      <w:rPr>
                                        <w:i/>
                                      </w:rPr>
                                      <w:t>a</w:t>
                                    </w:r>
                                    <w:r w:rsidRPr="005F78C4">
                                      <w:t xml:space="preserve"> — Medida do comprimento do apótema</w:t>
                                    </w:r>
                                  </w:p>
                                </w:tc>
                              </w:tr>
                            </w:tbl>
                            <w:p w:rsidR="00FD370C" w:rsidRPr="005F78C4" w:rsidRDefault="00FD370C" w:rsidP="00EA5619">
                              <w:pPr>
                                <w:spacing w:after="10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1" o:spid="_x0000_s1055" style="width:469.95pt;height:397.5pt;mso-position-horizontal-relative:char;mso-position-vertical-relative:line" coordsize="59683,5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">
                <v:roundrect id="Rounded Rectangle 12" o:spid="_x0000_s1056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AUrsMA&#10;AADbAAAADwAAAGRycy9kb3ducmV2LnhtbERPS2vCQBC+C/6HZYTe6kahVqOrWMFHQQ9qQI9jdkxC&#10;s7Mhu2r8991Cwdt8fM+ZzBpTijvVrrCsoNeNQBCnVhecKUiOy/chCOeRNZaWScGTHMym7dYEY20f&#10;vKf7wWcihLCLUUHufRVL6dKcDLqurYgDd7W1QR9gnUld4yOEm1L2o2ggDRYcGnKsaJFT+nO4GQXR&#10;x271dJ/X9XkzKtLT9zzZXr4Spd46zXwMwlPjX+J/90aH+X34+yUcIK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AUrsMAAADbAAAADwAAAAAAAAAAAAAAAACYAgAAZHJzL2Rv&#10;d25yZXYueG1sUEsFBgAAAAAEAAQA9QAAAIg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727FE7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3" o:spid="_x0000_s1057" style="position:absolute;top:2476;width:59683;height:49435;rotation:180;visibility:visible;mso-wrap-style:square;v-text-anchor:top" coordsize="5968365,49434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yZ2r8A&#10;AADbAAAADwAAAGRycy9kb3ducmV2LnhtbERPS4vCMBC+C/6HMII3TV1BtBpFBGEFLz5AvA3N2BSb&#10;SUmidvfXG2Fhb/PxPWexam0tnuRD5VjBaJiBIC6crrhUcD5tB1MQISJrrB2Tgh8KsFp2OwvMtXvx&#10;gZ7HWIoUwiFHBSbGJpcyFIYshqFriBN3c95iTNCXUnt8pXBby68sm0iLFacGgw1tDBX348Mq2NQ7&#10;MqfmceXLfsq/1s/245tWqt9r13MQkdr4L/5zf+s0fwyfX9IB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zJnavwAAANsAAAAPAAAAAAAAAAAAAAAAAJgCAABkcnMvZG93bnJl&#10;di54bWxQSwUGAAAAAAQABAD1AAAAhAMAAAAA&#10;" adj="-11796480,,5400" path="m115232,l5853133,v63641,,115232,51591,115232,115232l5968365,4943475r,l,4943475r,l,115232c,51591,51591,,115232,xe" strokecolor="#bfbfbf [2412]">
                  <v:stroke joinstyle="miter"/>
                  <v:formulas/>
                  <v:path arrowok="t" o:connecttype="custom" o:connectlocs="115232,0;5853133,0;5968365,115232;5968365,4943475;5968365,4943475;0,4943475;0,4943475;0,115232;115232,0" o:connectangles="0,0,0,0,0,0,0,0,0" textboxrect="0,0,5968365,4943475"/>
                  <v:textbox>
                    <w:txbxContent>
                      <w:p w:rsidR="00FD370C" w:rsidRPr="005F78C4" w:rsidRDefault="00FD370C" w:rsidP="00EA5619">
                        <w:pPr>
                          <w:spacing w:after="100"/>
                          <w:ind w:right="333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Área de polígonos regulares</w:t>
                        </w:r>
                      </w:p>
                      <w:p w:rsidR="00FD370C" w:rsidRPr="005F78C4" w:rsidRDefault="00FD370C" w:rsidP="00EA5619">
                        <w:pPr>
                          <w:spacing w:after="100"/>
                          <w:ind w:right="3330"/>
                        </w:pPr>
                        <w:r w:rsidRPr="005F78C4">
                          <w:t>Um polígono é regular se tiver todos os seus lados e ângulos iguais, sejam eles internos ou externos.</w:t>
                        </w:r>
                      </w:p>
                      <w:p w:rsidR="00FD370C" w:rsidRPr="005F78C4" w:rsidRDefault="00FD370C" w:rsidP="00EA5619">
                        <w:pPr>
                          <w:spacing w:after="100"/>
                          <w:ind w:right="3330"/>
                        </w:pPr>
                        <w:r w:rsidRPr="005F78C4">
                          <w:t>Unindo o centro do polígono a cada um dos seus vértices, decompomos o polígono em triângulos isósceles.</w:t>
                        </w:r>
                      </w:p>
                      <w:p w:rsidR="00FD370C" w:rsidRPr="005F78C4" w:rsidRDefault="00FD370C" w:rsidP="00EA5619">
                        <w:pPr>
                          <w:spacing w:after="100"/>
                          <w:ind w:right="3330"/>
                        </w:pPr>
                        <w:r w:rsidRPr="005F78C4">
                          <w:t>O segmento que une o centro do polígono ao ponto médio dos seus lados é chamado de apótema (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>).</w:t>
                        </w:r>
                      </w:p>
                      <w:p w:rsidR="00FD370C" w:rsidRPr="005F78C4" w:rsidRDefault="00FD370C" w:rsidP="00EA5619">
                        <w:pPr>
                          <w:spacing w:after="100"/>
                          <w:ind w:right="3330"/>
                        </w:pPr>
                        <w:r w:rsidRPr="005F78C4">
                          <w:t xml:space="preserve">Exemplo: </w:t>
                        </w:r>
                      </w:p>
                      <w:p w:rsidR="00FD370C" w:rsidRPr="005F78C4" w:rsidRDefault="00FD370C" w:rsidP="00EA5619">
                        <w:pPr>
                          <w:spacing w:after="100"/>
                          <w:ind w:right="3330"/>
                        </w:pPr>
                        <w:r w:rsidRPr="005F78C4">
                          <w:t>Determinar a área do pentágono regular, de duas maneiras diferentes.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1.º processo</w:t>
                        </w:r>
                      </w:p>
                      <w:p w:rsidR="00FD370C" w:rsidRPr="00976749" w:rsidRDefault="00FD370C" w:rsidP="00DD5C1C">
                        <w:pPr>
                          <w:spacing w:after="100"/>
                          <w:rPr>
                            <w:rFonts w:eastAsiaTheme="minorEastAsia"/>
                          </w:rPr>
                        </w:pPr>
                        <w:proofErr w:type="spellStart"/>
                        <w:r w:rsidRPr="00FC5BBE">
                          <w:rPr>
                            <w:rFonts w:eastAsiaTheme="minorEastAsia"/>
                            <w:i/>
                          </w:rPr>
                          <w:t>A</w:t>
                        </w:r>
                        <w:r w:rsidRPr="00FC5BBE">
                          <w:rPr>
                            <w:rFonts w:eastAsiaTheme="minorEastAsia"/>
                            <w:vertAlign w:val="subscript"/>
                          </w:rPr>
                          <w:t>triângulo</w:t>
                        </w:r>
                        <w:proofErr w:type="spellEnd"/>
                        <w:r w:rsidRPr="00FC5BBE">
                          <w:rPr>
                            <w:rFonts w:eastAsiaTheme="minorEastAsia"/>
                          </w:rPr>
                          <w:t xml:space="preserve"> 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2,4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/>
                                  <w:sz w:val="22"/>
                                </w:rPr>
                                <m:t xml:space="preserve">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x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/>
                                  <w:sz w:val="22"/>
                                </w:rPr>
                                <m:t xml:space="preserve">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>2</m:t>
                              </m:r>
                            </m:den>
                          </m:f>
                        </m:oMath>
                        <w:r>
                          <w:rPr>
                            <w:rFonts w:eastAsiaTheme="minorEastAsia"/>
                            <w:sz w:val="22"/>
                          </w:rPr>
                          <w:t xml:space="preserve"> </w:t>
                        </w:r>
                        <w:r w:rsidRPr="00FC5BBE">
                          <w:rPr>
                            <w:rFonts w:eastAsiaTheme="minorEastAsia"/>
                          </w:rPr>
                          <w:t>= 2,4</w:t>
                        </w:r>
                        <w:r>
                          <w:rPr>
                            <w:rFonts w:eastAsiaTheme="minorEastAsia"/>
                          </w:rPr>
                          <w:t xml:space="preserve"> cm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>,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logo, </w:t>
                        </w:r>
                        <w:proofErr w:type="spellStart"/>
                        <w:r w:rsidRPr="00E94E89">
                          <w:rPr>
                            <w:rFonts w:eastAsiaTheme="minorEastAsia"/>
                            <w:i/>
                          </w:rPr>
                          <w:t>A</w:t>
                        </w:r>
                        <w:r w:rsidRPr="00E94E89">
                          <w:rPr>
                            <w:rFonts w:eastAsiaTheme="minorEastAsia"/>
                            <w:vertAlign w:val="subscript"/>
                          </w:rPr>
                          <w:t>pentágono</w:t>
                        </w:r>
                        <w:proofErr w:type="spellEnd"/>
                        <w:r>
                          <w:rPr>
                            <w:rFonts w:eastAsiaTheme="minorEastAsia"/>
                            <w:vertAlign w:val="subscript"/>
                          </w:rPr>
                          <w:t xml:space="preserve"> </w:t>
                        </w:r>
                        <w:r w:rsidRPr="00E94E89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proofErr w:type="spellStart"/>
                        <w:r w:rsidRPr="00E94E89">
                          <w:rPr>
                            <w:rFonts w:eastAsiaTheme="minorEastAsia"/>
                            <w:i/>
                          </w:rPr>
                          <w:t>A</w:t>
                        </w:r>
                        <w:r w:rsidRPr="00E94E89">
                          <w:rPr>
                            <w:rFonts w:eastAsiaTheme="minorEastAsia"/>
                            <w:vertAlign w:val="subscript"/>
                          </w:rPr>
                          <w:t>triângulo</w:t>
                        </w:r>
                        <w:proofErr w:type="spellEnd"/>
                        <w:r>
                          <w:rPr>
                            <w:rFonts w:eastAsiaTheme="minorEastAsia"/>
                          </w:rPr>
                          <w:t xml:space="preserve"> x</w:t>
                        </w:r>
                        <w:r w:rsidRPr="00E94E89">
                          <w:rPr>
                            <w:rFonts w:eastAsiaTheme="minorEastAsia"/>
                          </w:rPr>
                          <w:t xml:space="preserve"> n.º de triângulos =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rFonts w:eastAsiaTheme="minorEastAsia"/>
                          </w:rPr>
                        </w:pPr>
                        <w:r w:rsidRPr="00782156">
                          <w:rPr>
                            <w:rFonts w:eastAsiaTheme="minorEastAsia"/>
                          </w:rPr>
                          <w:t>= 2,4 cm</w:t>
                        </w:r>
                        <w:r w:rsidRPr="00782156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 w:rsidRPr="00782156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782156">
                          <w:rPr>
                            <w:rFonts w:eastAsiaTheme="minorEastAsia"/>
                          </w:rPr>
                          <w:t xml:space="preserve"> 5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ascii="Cambria Math" w:eastAsia="Cambria Math" w:hAnsi="Cambria Math" w:cs="Cambria Math" w:hint="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12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cm</w:t>
                        </w:r>
                        <w:r w:rsidRPr="00782156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2.º processo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rFonts w:eastAsiaTheme="minorEastAsia"/>
                          </w:rPr>
                        </w:pPr>
                        <w:proofErr w:type="spellStart"/>
                        <w:r w:rsidRPr="00782156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782156">
                          <w:rPr>
                            <w:rFonts w:eastAsiaTheme="minorEastAsia"/>
                            <w:vertAlign w:val="subscript"/>
                          </w:rPr>
                          <w:t>pentágono</w:t>
                        </w:r>
                        <w:proofErr w:type="spellEnd"/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 xml:space="preserve">2,4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782156">
                          <w:rPr>
                            <w:rFonts w:eastAsiaTheme="minorEastAsia"/>
                          </w:rPr>
                          <w:t xml:space="preserve"> 5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782156">
                          <w:rPr>
                            <w:rFonts w:eastAsiaTheme="minorEastAsia"/>
                          </w:rPr>
                          <w:t>12 cm,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logo, </w:t>
                        </w: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i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pentágono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r>
                            <w:rPr>
                              <w:rFonts w:ascii="Cambria Math" w:eastAsiaTheme="minorEastAsia" w:hAnsi="Cambria Math"/>
                              <w:sz w:val="22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2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i/>
                                      <w:sz w:val="22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w:rPr>
                                      <w:sz w:val="24"/>
                                    </w:rPr>
                                    <m:t>pentágono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  <w:sz w:val="22"/>
                            </w:rPr>
                            <m:t xml:space="preserve"> 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× 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</w:rPr>
                            <m:t>a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>12 cm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× 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>2 cm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12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cm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2</m:t>
                              </m:r>
                            </m:sup>
                          </m:sSup>
                        </m:oMath>
                      </w:p>
                      <w:p w:rsidR="00FD370C" w:rsidRPr="00782156" w:rsidRDefault="00FD370C" w:rsidP="00DD5C1C">
                        <w:pPr>
                          <w:spacing w:after="100"/>
                        </w:pPr>
                        <w:r w:rsidRPr="005F78C4">
                          <w:t>Portanto, a área do pentágono é 12 cm</w:t>
                        </w:r>
                        <w:r w:rsidRPr="005F78C4">
                          <w:rPr>
                            <w:vertAlign w:val="superscript"/>
                          </w:rPr>
                          <w:t>2</w:t>
                        </w:r>
                        <w:r>
                          <w:t>.</w:t>
                        </w:r>
                      </w:p>
                      <w:p w:rsidR="00FD370C" w:rsidRPr="005F78C4" w:rsidRDefault="00FD370C" w:rsidP="00782156">
                        <w:pPr>
                          <w:spacing w:after="0"/>
                        </w:pPr>
                        <w:r w:rsidRPr="005F78C4">
                          <w:t>De um modo geral, podemos afirmar:</w:t>
                        </w:r>
                      </w:p>
                      <w:p w:rsidR="00FD370C" w:rsidRPr="005F78C4" w:rsidRDefault="00FD370C" w:rsidP="00DD5C1C">
                        <w:pPr>
                          <w:spacing w:after="100"/>
                        </w:pPr>
                        <w:r w:rsidRPr="005F78C4">
                          <w:t xml:space="preserve">A medida da área de um polígono regular é igual ao produto do </w:t>
                        </w:r>
                        <w:proofErr w:type="spellStart"/>
                        <w:r w:rsidRPr="005F78C4">
                          <w:t>semiperímetro</w:t>
                        </w:r>
                        <w:proofErr w:type="spellEnd"/>
                        <w:r w:rsidRPr="005F78C4">
                          <w:t xml:space="preserve"> pela medida do comprimento do apótema.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496"/>
                          <w:gridCol w:w="4496"/>
                        </w:tblGrid>
                        <w:tr w:rsidR="00FD370C" w:rsidRPr="005F78C4" w:rsidTr="00712E9D">
                          <w:tc>
                            <w:tcPr>
                              <w:tcW w:w="4496" w:type="dxa"/>
                              <w:vAlign w:val="center"/>
                            </w:tcPr>
                            <w:p w:rsidR="00FD370C" w:rsidRPr="005F78C4" w:rsidRDefault="00FD370C" w:rsidP="00017E5F">
                              <w:pPr>
                                <w:spacing w:after="0"/>
                                <w:rPr>
                                  <w:b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nor/>
                                    </m:rPr>
                                    <w:rPr>
                                      <w:b/>
                                      <w:i/>
                                    </w:rPr>
                                    <m:t>A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b/>
                                          <w:i/>
                                        </w:rPr>
                                        <m:t>P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 xml:space="preserve"> × 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b/>
                                      <w:i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c>
                          <w:tc>
                            <w:tcPr>
                              <w:tcW w:w="4496" w:type="dxa"/>
                              <w:vAlign w:val="center"/>
                            </w:tcPr>
                            <w:p w:rsidR="00FD370C" w:rsidRPr="005F78C4" w:rsidRDefault="00FD370C" w:rsidP="00017E5F">
                              <w:pPr>
                                <w:spacing w:after="0"/>
                              </w:pPr>
                              <w:r w:rsidRPr="005F78C4">
                                <w:rPr>
                                  <w:i/>
                                </w:rPr>
                                <w:t>P</w:t>
                              </w:r>
                              <w:r w:rsidRPr="005F78C4">
                                <w:t xml:space="preserve"> — Medida do perímetro do polígono regular </w:t>
                              </w:r>
                            </w:p>
                            <w:p w:rsidR="00FD370C" w:rsidRPr="005F78C4" w:rsidRDefault="00FD370C" w:rsidP="00017E5F">
                              <w:pPr>
                                <w:spacing w:after="0"/>
                              </w:pPr>
                              <w:r w:rsidRPr="006910DC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 xml:space="preserve"> — Medida do comprimento do apótema</w:t>
                              </w:r>
                            </w:p>
                          </w:tc>
                        </w:tr>
                      </w:tbl>
                      <w:p w:rsidR="00FD370C" w:rsidRPr="005F78C4" w:rsidRDefault="00FD370C" w:rsidP="00EA5619">
                        <w:pPr>
                          <w:spacing w:after="100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27D3" w:rsidRPr="00340CDF" w:rsidRDefault="007F685D" w:rsidP="007F685D">
      <w:pPr>
        <w:jc w:val="center"/>
        <w:rPr>
          <w:b/>
          <w:sz w:val="22"/>
        </w:rPr>
      </w:pPr>
      <w:r w:rsidRPr="00340CDF">
        <w:rPr>
          <w:b/>
          <w:sz w:val="22"/>
          <w:highlight w:val="lightGray"/>
        </w:rPr>
        <w:t>Agora pratica!</w:t>
      </w:r>
    </w:p>
    <w:p w:rsidR="007E411F" w:rsidRPr="008973C5" w:rsidRDefault="007E411F" w:rsidP="003B6FC9">
      <w:pPr>
        <w:pStyle w:val="1Numerao"/>
        <w:numPr>
          <w:ilvl w:val="0"/>
          <w:numId w:val="28"/>
        </w:numPr>
        <w:spacing w:before="240"/>
        <w:ind w:left="357" w:hanging="357"/>
        <w:rPr>
          <w:noProof w:val="0"/>
        </w:rPr>
      </w:pPr>
      <w:r w:rsidRPr="008973C5">
        <w:rPr>
          <w:noProof w:val="0"/>
        </w:rPr>
        <w:t>Calcula, por dois processos, a área de:</w:t>
      </w:r>
    </w:p>
    <w:p w:rsidR="00FA4B9D" w:rsidRPr="008973C5" w:rsidRDefault="00FA4B9D" w:rsidP="006C52BF">
      <w:pPr>
        <w:pStyle w:val="alineas"/>
        <w:numPr>
          <w:ilvl w:val="0"/>
          <w:numId w:val="29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um hexágono regular com 6,93 cm de lado e o apótema de 6 cm;</w:t>
      </w:r>
    </w:p>
    <w:p w:rsidR="007E411F" w:rsidRPr="008973C5" w:rsidRDefault="00FA4B9D" w:rsidP="006C52BF">
      <w:pPr>
        <w:pStyle w:val="alineas"/>
        <w:numPr>
          <w:ilvl w:val="0"/>
          <w:numId w:val="29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um octógono regular com 2,49 cm de lado e o apótema de 3 cm.</w:t>
      </w:r>
    </w:p>
    <w:p w:rsidR="00FA4B9D" w:rsidRPr="008973C5" w:rsidRDefault="003B6FC9" w:rsidP="003B6FC9">
      <w:pPr>
        <w:pStyle w:val="1Numerao"/>
        <w:ind w:right="5158"/>
        <w:rPr>
          <w:noProof w:val="0"/>
        </w:rPr>
      </w:pPr>
      <w:r w:rsidRPr="008973C5">
        <w:drawing>
          <wp:anchor distT="0" distB="0" distL="114300" distR="114300" simplePos="0" relativeHeight="251650048" behindDoc="0" locked="0" layoutInCell="1" allowOverlap="1" wp14:anchorId="4624E8D3" wp14:editId="1104B5DB">
            <wp:simplePos x="0" y="0"/>
            <wp:positionH relativeFrom="margin">
              <wp:posOffset>3173095</wp:posOffset>
            </wp:positionH>
            <wp:positionV relativeFrom="margin">
              <wp:posOffset>7846060</wp:posOffset>
            </wp:positionV>
            <wp:extent cx="2790825" cy="1076325"/>
            <wp:effectExtent l="0" t="0" r="9525" b="9525"/>
            <wp:wrapSquare wrapText="bothSides"/>
            <wp:docPr id="17" name="Picture 17" descr="C:\Users\Tukang Ketik\Desktop\New folder (2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2)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2A17" w:rsidRPr="008973C5">
        <w:rPr>
          <w:noProof w:val="0"/>
        </w:rPr>
        <w:t>Determina a área dos polígonos regulares inscritos na circunferência, usando a fórmula.</w:t>
      </w:r>
    </w:p>
    <w:p w:rsidR="00C72A17" w:rsidRPr="003B6FC9" w:rsidRDefault="00003249" w:rsidP="003B6FC9">
      <w:pPr>
        <w:pStyle w:val="1Numerao"/>
        <w:ind w:right="5158"/>
        <w:rPr>
          <w:noProof w:val="0"/>
        </w:rPr>
      </w:pPr>
      <w:r>
        <w:rPr>
          <w:noProof w:val="0"/>
        </w:rPr>
        <w:t>A m</w:t>
      </w:r>
      <w:r w:rsidR="001D4913" w:rsidRPr="003B6FC9">
        <w:rPr>
          <w:noProof w:val="0"/>
        </w:rPr>
        <w:t>edida da área de um heptágono regular é igual a 5,88 cm</w:t>
      </w:r>
      <w:r w:rsidR="001D4913" w:rsidRPr="003B6FC9">
        <w:rPr>
          <w:noProof w:val="0"/>
          <w:vertAlign w:val="superscript"/>
        </w:rPr>
        <w:t>2</w:t>
      </w:r>
      <w:r w:rsidR="001D4913" w:rsidRPr="003B6FC9">
        <w:rPr>
          <w:noProof w:val="0"/>
        </w:rPr>
        <w:t xml:space="preserve"> e o seu lado mede 1,4 cm. Qual é o seu apótema?</w:t>
      </w:r>
    </w:p>
    <w:sectPr w:rsidR="00C72A17" w:rsidRPr="003B6FC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E002801-0B79-47EE-AEE4-4E9A76472851}"/>
    <w:embedBold r:id="rId2" w:fontKey="{29A218C2-A2EE-48FE-B3FB-37609D59603A}"/>
    <w:embedItalic r:id="rId3" w:fontKey="{EA7CD058-003E-4F9E-874B-2A60EA3DDBA6}"/>
    <w:embedBoldItalic r:id="rId4" w:fontKey="{587FC19C-C990-4B12-BC95-31732D53E34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505B1E90-AABC-43DC-A33A-F98A6517010C}"/>
    <w:embedItalic r:id="rId6" w:subsetted="1" w:fontKey="{5B6357C7-8726-46B8-8E7B-40036FCA2640}"/>
    <w:embedBoldItalic r:id="rId7" w:subsetted="1" w:fontKey="{454DF24F-E6E7-41FA-A70F-EF7C46DBBC5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050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B5473-EBB7-4105-B1E8-EA31EE8A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74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