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1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BC29B2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.º ano </w:t>
      </w:r>
    </w:p>
    <w:p w:rsidR="00CB4F45" w:rsidRDefault="00E317B5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0B191B" w:rsidRPr="00667D5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Default="00E317B5" w:rsidP="000B191B">
      <w:pPr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D75933" w:rsidRPr="004C4E2D" w:rsidRDefault="004C4E2D" w:rsidP="00D75933">
      <w:pPr>
        <w:ind w:left="-284"/>
        <w:contextualSpacing/>
        <w:rPr>
          <w:rFonts w:ascii="Arial" w:hAnsi="Arial" w:cs="Arial"/>
          <w:sz w:val="20"/>
          <w:szCs w:val="20"/>
        </w:rPr>
      </w:pPr>
      <w:r w:rsidRPr="004C4E2D">
        <w:rPr>
          <w:rFonts w:ascii="Arial" w:hAnsi="Arial" w:cs="Arial"/>
          <w:sz w:val="20"/>
          <w:szCs w:val="20"/>
        </w:rPr>
        <w:t>11. Compreender a atividade sísmica como uma consequência da dinâmica interna da Terra</w:t>
      </w:r>
      <w:r w:rsidR="005F05AA" w:rsidRPr="004C4E2D">
        <w:rPr>
          <w:rFonts w:ascii="Arial" w:hAnsi="Arial" w:cs="Arial"/>
          <w:sz w:val="20"/>
          <w:szCs w:val="20"/>
        </w:rPr>
        <w:t>.</w:t>
      </w:r>
    </w:p>
    <w:p w:rsidR="006E4E68" w:rsidRPr="004C4E2D" w:rsidRDefault="004C4E2D" w:rsidP="00D75933">
      <w:pPr>
        <w:ind w:left="-284"/>
        <w:contextualSpacing/>
        <w:rPr>
          <w:rFonts w:ascii="Arial" w:hAnsi="Arial" w:cs="Arial"/>
          <w:sz w:val="20"/>
          <w:szCs w:val="20"/>
        </w:rPr>
      </w:pPr>
      <w:r w:rsidRPr="004C4E2D">
        <w:rPr>
          <w:rFonts w:ascii="Arial" w:hAnsi="Arial" w:cs="Arial"/>
          <w:sz w:val="20"/>
          <w:szCs w:val="20"/>
        </w:rPr>
        <w:t>12</w:t>
      </w:r>
      <w:r w:rsidR="00D75933" w:rsidRPr="004C4E2D">
        <w:rPr>
          <w:rFonts w:ascii="Arial" w:hAnsi="Arial" w:cs="Arial"/>
          <w:sz w:val="20"/>
          <w:szCs w:val="20"/>
        </w:rPr>
        <w:t xml:space="preserve">. </w:t>
      </w:r>
      <w:r w:rsidRPr="004C4E2D">
        <w:rPr>
          <w:rFonts w:ascii="Arial" w:hAnsi="Arial" w:cs="Arial"/>
          <w:sz w:val="20"/>
          <w:szCs w:val="20"/>
        </w:rPr>
        <w:t>Compreender a estrutura interna da Terra</w:t>
      </w:r>
      <w:r w:rsidR="005F05AA" w:rsidRPr="004C4E2D">
        <w:rPr>
          <w:rFonts w:ascii="Arial" w:hAnsi="Arial" w:cs="Arial"/>
          <w:sz w:val="20"/>
          <w:szCs w:val="20"/>
        </w:rPr>
        <w:t>.</w:t>
      </w:r>
    </w:p>
    <w:p w:rsidR="00092D7C" w:rsidRDefault="00092D7C" w:rsidP="00D75933">
      <w:pPr>
        <w:ind w:left="-284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7514"/>
        <w:gridCol w:w="1559"/>
      </w:tblGrid>
      <w:tr w:rsidR="007D7C1D" w:rsidTr="000B191B">
        <w:tc>
          <w:tcPr>
            <w:tcW w:w="7514" w:type="dxa"/>
          </w:tcPr>
          <w:p w:rsidR="007D7C1D" w:rsidRPr="000B191B" w:rsidRDefault="007D7C1D" w:rsidP="003A0DE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559" w:type="dxa"/>
          </w:tcPr>
          <w:p w:rsidR="007D7C1D" w:rsidRPr="000B191B" w:rsidRDefault="007D7C1D" w:rsidP="000B191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0B191B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A95A5B">
        <w:tc>
          <w:tcPr>
            <w:tcW w:w="7514" w:type="dxa"/>
          </w:tcPr>
          <w:p w:rsidR="007D7C1D" w:rsidRDefault="007D7C1D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C4E2D">
              <w:rPr>
                <w:rFonts w:ascii="Arial" w:hAnsi="Arial" w:cs="Arial"/>
                <w:sz w:val="20"/>
                <w:szCs w:val="20"/>
              </w:rPr>
              <w:t>A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7D7C1D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C4E2D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C4E2D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C4E2D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C4E2D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Default="00154004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4C4E2D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154004" w:rsidRPr="00A95A5B" w:rsidRDefault="00667D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BC29B2" w:rsidTr="00A95A5B">
        <w:tc>
          <w:tcPr>
            <w:tcW w:w="7514" w:type="dxa"/>
          </w:tcPr>
          <w:p w:rsidR="00BC29B2" w:rsidRDefault="00BC29B2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:rsidR="00BC29B2" w:rsidRPr="00A95A5B" w:rsidRDefault="00BC29B2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Pr="000B191B" w:rsidRDefault="00BC29B2" w:rsidP="0076277A">
            <w:pPr>
              <w:spacing w:before="60" w:after="60"/>
              <w:ind w:left="142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154004" w:rsidRDefault="004C4E2D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(A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 xml:space="preserve">– Litosfera – </w:t>
            </w:r>
            <w:r w:rsidR="00154004">
              <w:rPr>
                <w:rFonts w:ascii="Arial" w:hAnsi="Arial" w:cs="Arial"/>
                <w:sz w:val="20"/>
                <w:szCs w:val="20"/>
              </w:rPr>
              <w:t>(</w:t>
            </w:r>
            <w:r w:rsidR="00D75933">
              <w:rPr>
                <w:rFonts w:ascii="Arial" w:hAnsi="Arial" w:cs="Arial"/>
                <w:sz w:val="20"/>
                <w:szCs w:val="20"/>
              </w:rPr>
              <w:t>3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4C4E2D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 xml:space="preserve">– Astenosfera – </w:t>
            </w:r>
            <w:r w:rsidR="00154004">
              <w:rPr>
                <w:rFonts w:ascii="Arial" w:hAnsi="Arial" w:cs="Arial"/>
                <w:sz w:val="20"/>
                <w:szCs w:val="20"/>
              </w:rPr>
              <w:t>(</w:t>
            </w:r>
            <w:r w:rsidR="006E4E68">
              <w:rPr>
                <w:rFonts w:ascii="Arial" w:hAnsi="Arial" w:cs="Arial"/>
                <w:sz w:val="20"/>
                <w:szCs w:val="20"/>
              </w:rPr>
              <w:t>1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4C4E2D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– Mesosfera –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D75933">
              <w:rPr>
                <w:rFonts w:ascii="Arial" w:hAnsi="Arial" w:cs="Arial"/>
                <w:sz w:val="20"/>
                <w:szCs w:val="20"/>
              </w:rPr>
              <w:t>4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C29B2" w:rsidRDefault="004C4E2D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) </w:t>
            </w:r>
            <w:r>
              <w:rPr>
                <w:rFonts w:ascii="Arial" w:hAnsi="Arial" w:cs="Arial"/>
                <w:sz w:val="20"/>
                <w:szCs w:val="20"/>
              </w:rPr>
              <w:t xml:space="preserve">– Núcleo externo – </w:t>
            </w:r>
            <w:r w:rsidR="00154004">
              <w:rPr>
                <w:rFonts w:ascii="Arial" w:hAnsi="Arial" w:cs="Arial"/>
                <w:sz w:val="20"/>
                <w:szCs w:val="20"/>
              </w:rPr>
              <w:t>(</w:t>
            </w:r>
            <w:r w:rsidR="00D75933">
              <w:rPr>
                <w:rFonts w:ascii="Arial" w:hAnsi="Arial" w:cs="Arial"/>
                <w:sz w:val="20"/>
                <w:szCs w:val="20"/>
              </w:rPr>
              <w:t>5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4C4E2D" w:rsidRDefault="004C4E2D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(E) – Núcleo interno – (2)</w:t>
            </w:r>
          </w:p>
        </w:tc>
        <w:tc>
          <w:tcPr>
            <w:tcW w:w="1559" w:type="dxa"/>
            <w:vAlign w:val="center"/>
          </w:tcPr>
          <w:p w:rsidR="008F21F5" w:rsidRPr="00A95A5B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10</w:t>
            </w:r>
          </w:p>
          <w:p w:rsidR="008F21F5" w:rsidRPr="00A95A5B" w:rsidRDefault="008F21F5" w:rsidP="00A95A5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A5B">
              <w:rPr>
                <w:rFonts w:ascii="Arial" w:hAnsi="Arial" w:cs="Arial"/>
                <w:sz w:val="18"/>
                <w:szCs w:val="18"/>
              </w:rPr>
              <w:t>(</w:t>
            </w:r>
            <w:r w:rsidR="00A95A5B" w:rsidRPr="00A95A5B">
              <w:rPr>
                <w:rFonts w:ascii="Arial" w:hAnsi="Arial" w:cs="Arial"/>
                <w:sz w:val="18"/>
                <w:szCs w:val="18"/>
              </w:rPr>
              <w:t>5</w:t>
            </w:r>
            <w:r w:rsidR="00251407" w:rsidRPr="00A95A5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5A5B">
              <w:rPr>
                <w:rFonts w:ascii="Arial" w:hAnsi="Arial" w:cs="Arial"/>
                <w:sz w:val="18"/>
                <w:szCs w:val="18"/>
              </w:rPr>
              <w:t>x</w:t>
            </w:r>
            <w:r w:rsidR="00251407" w:rsidRPr="00A95A5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A51BE" w:rsidRPr="00A95A5B">
              <w:rPr>
                <w:rFonts w:ascii="Arial" w:hAnsi="Arial" w:cs="Arial"/>
                <w:sz w:val="18"/>
                <w:szCs w:val="18"/>
              </w:rPr>
              <w:t>2</w:t>
            </w:r>
            <w:r w:rsidRPr="00A95A5B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54004" w:rsidTr="00A95A5B">
        <w:tc>
          <w:tcPr>
            <w:tcW w:w="7514" w:type="dxa"/>
          </w:tcPr>
          <w:p w:rsidR="00BC29B2" w:rsidRDefault="00154004" w:rsidP="00A81302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4C4E2D">
              <w:rPr>
                <w:rFonts w:ascii="Arial" w:hAnsi="Arial" w:cs="Arial"/>
                <w:sz w:val="20"/>
                <w:szCs w:val="20"/>
              </w:rPr>
              <w:t>A</w:t>
            </w:r>
            <w:r w:rsidR="00A813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1302">
              <w:rPr>
                <w:rFonts w:ascii="Arial" w:hAnsi="Arial" w:cs="Arial"/>
                <w:sz w:val="20"/>
                <w:szCs w:val="20"/>
              </w:rPr>
              <w:t>–</w:t>
            </w:r>
            <w:r w:rsidR="0076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4E2D">
              <w:rPr>
                <w:rFonts w:ascii="Arial" w:hAnsi="Arial" w:cs="Arial"/>
                <w:sz w:val="20"/>
                <w:szCs w:val="20"/>
              </w:rPr>
              <w:t>V; B</w:t>
            </w:r>
            <w:r w:rsidR="0076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1302">
              <w:rPr>
                <w:rFonts w:ascii="Arial" w:hAnsi="Arial" w:cs="Arial"/>
                <w:sz w:val="20"/>
                <w:szCs w:val="20"/>
              </w:rPr>
              <w:t>–</w:t>
            </w:r>
            <w:r w:rsidR="00A813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4E2D">
              <w:rPr>
                <w:rFonts w:ascii="Arial" w:hAnsi="Arial" w:cs="Arial"/>
                <w:sz w:val="20"/>
                <w:szCs w:val="20"/>
              </w:rPr>
              <w:t>V; C</w:t>
            </w:r>
            <w:r w:rsidR="00A813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1302">
              <w:rPr>
                <w:rFonts w:ascii="Arial" w:hAnsi="Arial" w:cs="Arial"/>
                <w:sz w:val="20"/>
                <w:szCs w:val="20"/>
              </w:rPr>
              <w:t>–</w:t>
            </w:r>
            <w:r w:rsidR="004C4E2D">
              <w:rPr>
                <w:rFonts w:ascii="Arial" w:hAnsi="Arial" w:cs="Arial"/>
                <w:sz w:val="20"/>
                <w:szCs w:val="20"/>
              </w:rPr>
              <w:t xml:space="preserve"> V; D</w:t>
            </w:r>
            <w:r w:rsidR="00A813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1302">
              <w:rPr>
                <w:rFonts w:ascii="Arial" w:hAnsi="Arial" w:cs="Arial"/>
                <w:sz w:val="20"/>
                <w:szCs w:val="20"/>
              </w:rPr>
              <w:t>–</w:t>
            </w:r>
            <w:r w:rsidR="004C4E2D">
              <w:rPr>
                <w:rFonts w:ascii="Arial" w:hAnsi="Arial" w:cs="Arial"/>
                <w:sz w:val="20"/>
                <w:szCs w:val="20"/>
              </w:rPr>
              <w:t xml:space="preserve"> F; E</w:t>
            </w:r>
            <w:r w:rsidR="00A8130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81302">
              <w:rPr>
                <w:rFonts w:ascii="Arial" w:hAnsi="Arial" w:cs="Arial"/>
                <w:sz w:val="20"/>
                <w:szCs w:val="20"/>
              </w:rPr>
              <w:t>–</w:t>
            </w:r>
            <w:r w:rsidR="004C4E2D">
              <w:rPr>
                <w:rFonts w:ascii="Arial" w:hAnsi="Arial" w:cs="Arial"/>
                <w:sz w:val="20"/>
                <w:szCs w:val="20"/>
              </w:rPr>
              <w:t xml:space="preserve"> F.</w:t>
            </w:r>
          </w:p>
        </w:tc>
        <w:tc>
          <w:tcPr>
            <w:tcW w:w="1559" w:type="dxa"/>
            <w:vAlign w:val="center"/>
          </w:tcPr>
          <w:p w:rsidR="00154004" w:rsidRPr="00A95A5B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8F21F5" w:rsidRPr="00A95A5B" w:rsidRDefault="008F21F5" w:rsidP="00A95A5B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95A5B">
              <w:rPr>
                <w:rFonts w:ascii="Arial" w:hAnsi="Arial" w:cs="Arial"/>
                <w:sz w:val="18"/>
                <w:szCs w:val="18"/>
              </w:rPr>
              <w:t>(</w:t>
            </w:r>
            <w:r w:rsidR="00092D7C" w:rsidRPr="00A95A5B">
              <w:rPr>
                <w:rFonts w:ascii="Arial" w:hAnsi="Arial" w:cs="Arial"/>
                <w:sz w:val="18"/>
                <w:szCs w:val="18"/>
              </w:rPr>
              <w:t>5</w:t>
            </w:r>
            <w:r w:rsidR="00251407" w:rsidRPr="00A95A5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95A5B">
              <w:rPr>
                <w:rFonts w:ascii="Arial" w:hAnsi="Arial" w:cs="Arial"/>
                <w:sz w:val="18"/>
                <w:szCs w:val="18"/>
              </w:rPr>
              <w:t>x</w:t>
            </w:r>
            <w:r w:rsidR="00251407" w:rsidRPr="00A95A5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5A5B" w:rsidRPr="00A95A5B">
              <w:rPr>
                <w:rFonts w:ascii="Arial" w:hAnsi="Arial" w:cs="Arial"/>
                <w:sz w:val="18"/>
                <w:szCs w:val="18"/>
              </w:rPr>
              <w:t>1</w:t>
            </w:r>
            <w:r w:rsidRPr="00A95A5B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154004" w:rsidTr="00A95A5B">
        <w:tc>
          <w:tcPr>
            <w:tcW w:w="7514" w:type="dxa"/>
          </w:tcPr>
          <w:p w:rsidR="006E4E68" w:rsidRPr="00E25312" w:rsidRDefault="00154004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E2531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E25312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E2531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E253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5312" w:rsidRPr="00E25312">
              <w:rPr>
                <w:rFonts w:ascii="Arial" w:hAnsi="Arial" w:cs="Arial"/>
                <w:sz w:val="20"/>
                <w:szCs w:val="20"/>
              </w:rPr>
              <w:t>O abalo premonitório é um pequeno sismo que precede um grande sismo, enquanto réplica é um sismo que ocorre depois de um grande sismo.</w:t>
            </w:r>
          </w:p>
        </w:tc>
        <w:tc>
          <w:tcPr>
            <w:tcW w:w="1559" w:type="dxa"/>
            <w:vAlign w:val="center"/>
          </w:tcPr>
          <w:p w:rsidR="005A51BE" w:rsidRPr="00A95A5B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154004" w:rsidTr="00A95A5B">
        <w:tc>
          <w:tcPr>
            <w:tcW w:w="7514" w:type="dxa"/>
          </w:tcPr>
          <w:p w:rsidR="00BC29B2" w:rsidRPr="00E25312" w:rsidRDefault="00154004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E2531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E25312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E25312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E25312" w:rsidRPr="00E25312">
              <w:rPr>
                <w:rFonts w:ascii="Arial" w:hAnsi="Arial" w:cs="Arial"/>
                <w:sz w:val="20"/>
                <w:szCs w:val="20"/>
              </w:rPr>
              <w:t>No oceano</w:t>
            </w:r>
            <w:r w:rsidR="00A81302">
              <w:rPr>
                <w:rFonts w:ascii="Arial" w:hAnsi="Arial" w:cs="Arial"/>
                <w:sz w:val="20"/>
                <w:szCs w:val="20"/>
              </w:rPr>
              <w:t>,</w:t>
            </w:r>
            <w:r w:rsidR="00E25312" w:rsidRPr="00E25312">
              <w:rPr>
                <w:rFonts w:ascii="Arial" w:hAnsi="Arial" w:cs="Arial"/>
                <w:sz w:val="20"/>
                <w:szCs w:val="20"/>
              </w:rPr>
              <w:t xml:space="preserve"> os efeitos dos sismos nas populações, objetos e/ou construções não podem ser avaliados, </w:t>
            </w:r>
            <w:r w:rsidR="00A95A5B">
              <w:rPr>
                <w:rFonts w:ascii="Arial" w:hAnsi="Arial" w:cs="Arial"/>
                <w:sz w:val="20"/>
                <w:szCs w:val="20"/>
              </w:rPr>
              <w:t>o</w:t>
            </w:r>
            <w:r w:rsidR="00E25312" w:rsidRPr="00E25312">
              <w:rPr>
                <w:rFonts w:ascii="Arial" w:hAnsi="Arial" w:cs="Arial"/>
                <w:sz w:val="20"/>
                <w:szCs w:val="20"/>
              </w:rPr>
              <w:t xml:space="preserve"> que torna difícil a marcação de isossistas nestes locais.</w:t>
            </w:r>
          </w:p>
        </w:tc>
        <w:tc>
          <w:tcPr>
            <w:tcW w:w="1559" w:type="dxa"/>
            <w:vAlign w:val="center"/>
          </w:tcPr>
          <w:p w:rsidR="00154004" w:rsidRPr="00A95A5B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154004" w:rsidTr="00A95A5B">
        <w:tc>
          <w:tcPr>
            <w:tcW w:w="7514" w:type="dxa"/>
          </w:tcPr>
          <w:p w:rsidR="00154004" w:rsidRPr="00E25312" w:rsidRDefault="00154004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E2531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E25312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E2531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E253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5312" w:rsidRPr="00E25312">
              <w:rPr>
                <w:rFonts w:ascii="Arial" w:hAnsi="Arial" w:cs="Arial"/>
                <w:sz w:val="20"/>
                <w:szCs w:val="20"/>
              </w:rPr>
              <w:t>O risco sísmico é a percentagem provável de danos causados por um sismo, esperada numa região</w:t>
            </w:r>
            <w:r w:rsidR="00A81302">
              <w:rPr>
                <w:rFonts w:ascii="Arial" w:hAnsi="Arial" w:cs="Arial"/>
                <w:sz w:val="20"/>
                <w:szCs w:val="20"/>
              </w:rPr>
              <w:t>,</w:t>
            </w:r>
            <w:r w:rsidR="00E25312" w:rsidRPr="00E25312">
              <w:rPr>
                <w:rFonts w:ascii="Arial" w:hAnsi="Arial" w:cs="Arial"/>
                <w:sz w:val="20"/>
                <w:szCs w:val="20"/>
              </w:rPr>
              <w:t xml:space="preserve"> num determinado intervalo de tempo.</w:t>
            </w:r>
          </w:p>
        </w:tc>
        <w:tc>
          <w:tcPr>
            <w:tcW w:w="1559" w:type="dxa"/>
            <w:vAlign w:val="center"/>
          </w:tcPr>
          <w:p w:rsidR="005A51BE" w:rsidRPr="00A95A5B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A95A5B">
        <w:tc>
          <w:tcPr>
            <w:tcW w:w="7514" w:type="dxa"/>
          </w:tcPr>
          <w:p w:rsidR="00154004" w:rsidRPr="00E25312" w:rsidRDefault="00154004" w:rsidP="00A81302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E2531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E25312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E2531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D75933" w:rsidRPr="00E25312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D75933" w:rsidRPr="00E253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5312" w:rsidRPr="00E25312">
              <w:rPr>
                <w:rFonts w:ascii="Arial" w:hAnsi="Arial" w:cs="Arial"/>
                <w:sz w:val="20"/>
                <w:szCs w:val="20"/>
              </w:rPr>
              <w:t>N</w:t>
            </w:r>
            <w:r w:rsidR="00A81302">
              <w:rPr>
                <w:rFonts w:ascii="Arial" w:hAnsi="Arial" w:cs="Arial"/>
                <w:sz w:val="20"/>
                <w:szCs w:val="20"/>
              </w:rPr>
              <w:t>unca</w:t>
            </w:r>
            <w:r w:rsidR="00E25312" w:rsidRPr="00E25312">
              <w:rPr>
                <w:rFonts w:ascii="Arial" w:hAnsi="Arial" w:cs="Arial"/>
                <w:sz w:val="20"/>
                <w:szCs w:val="20"/>
              </w:rPr>
              <w:t xml:space="preserve"> utilizar os elevadores e proteger-se debaixo de uma mesa, por exemplo.</w:t>
            </w:r>
          </w:p>
        </w:tc>
        <w:tc>
          <w:tcPr>
            <w:tcW w:w="1559" w:type="dxa"/>
            <w:vAlign w:val="center"/>
          </w:tcPr>
          <w:p w:rsidR="00A95A5B" w:rsidRPr="00A95A5B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154004" w:rsidRPr="00A95A5B" w:rsidRDefault="0076277A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(2 x</w:t>
            </w:r>
            <w:r w:rsidR="00A95A5B" w:rsidRPr="00A95A5B">
              <w:rPr>
                <w:rFonts w:ascii="Arial" w:hAnsi="Arial" w:cs="Arial"/>
                <w:sz w:val="18"/>
                <w:szCs w:val="18"/>
              </w:rPr>
              <w:t xml:space="preserve"> 2)</w:t>
            </w:r>
          </w:p>
        </w:tc>
      </w:tr>
      <w:tr w:rsidR="00D75933" w:rsidTr="00A95A5B">
        <w:tc>
          <w:tcPr>
            <w:tcW w:w="7514" w:type="dxa"/>
          </w:tcPr>
          <w:p w:rsidR="00D75933" w:rsidRPr="00E25312" w:rsidRDefault="00D75933" w:rsidP="0076277A">
            <w:pPr>
              <w:spacing w:before="60" w:after="60"/>
              <w:ind w:left="142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E25312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="00E25312" w:rsidRPr="00E25312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E2531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E253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5312" w:rsidRPr="00E25312">
              <w:rPr>
                <w:rFonts w:ascii="Arial" w:hAnsi="Arial" w:cs="Arial"/>
                <w:sz w:val="20"/>
                <w:szCs w:val="20"/>
              </w:rPr>
              <w:t>Manter a calma e não ligar interruptores, por exemplo.</w:t>
            </w:r>
          </w:p>
        </w:tc>
        <w:tc>
          <w:tcPr>
            <w:tcW w:w="1559" w:type="dxa"/>
            <w:vAlign w:val="center"/>
          </w:tcPr>
          <w:p w:rsidR="00A95A5B" w:rsidRPr="00A95A5B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D75933" w:rsidRPr="00A95A5B" w:rsidRDefault="0076277A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18"/>
              </w:rPr>
              <w:t>(2 x</w:t>
            </w:r>
            <w:r w:rsidR="00A95A5B" w:rsidRPr="00A95A5B">
              <w:rPr>
                <w:rFonts w:ascii="Arial" w:hAnsi="Arial" w:cs="Arial"/>
                <w:sz w:val="18"/>
                <w:szCs w:val="18"/>
              </w:rPr>
              <w:t xml:space="preserve"> 2)</w:t>
            </w:r>
          </w:p>
        </w:tc>
      </w:tr>
      <w:tr w:rsidR="00154004" w:rsidTr="00A95A5B">
        <w:tc>
          <w:tcPr>
            <w:tcW w:w="7514" w:type="dxa"/>
          </w:tcPr>
          <w:p w:rsidR="00154004" w:rsidRPr="00E25312" w:rsidRDefault="00154004" w:rsidP="0076277A">
            <w:pPr>
              <w:spacing w:before="60" w:after="60"/>
              <w:ind w:left="142" w:right="142"/>
              <w:rPr>
                <w:rFonts w:ascii="Arial" w:hAnsi="Arial" w:cs="Arial"/>
                <w:sz w:val="20"/>
                <w:szCs w:val="20"/>
              </w:rPr>
            </w:pPr>
            <w:r w:rsidRPr="00E25312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E25312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E25312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E2531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5312" w:rsidRPr="00E25312">
              <w:rPr>
                <w:rFonts w:ascii="Arial" w:hAnsi="Arial" w:cs="Arial"/>
                <w:sz w:val="20"/>
                <w:szCs w:val="20"/>
              </w:rPr>
              <w:t>A sismologia, a planetologia e o geomagnetismo, por exemplo.</w:t>
            </w:r>
          </w:p>
        </w:tc>
        <w:tc>
          <w:tcPr>
            <w:tcW w:w="1559" w:type="dxa"/>
            <w:vAlign w:val="center"/>
          </w:tcPr>
          <w:p w:rsidR="008F21F5" w:rsidRPr="00A95A5B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A95A5B" w:rsidRPr="00A95A5B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18"/>
                <w:szCs w:val="18"/>
              </w:rPr>
              <w:t>(3 x 2)</w:t>
            </w:r>
          </w:p>
        </w:tc>
      </w:tr>
      <w:tr w:rsidR="00E25312" w:rsidTr="00A95A5B">
        <w:tc>
          <w:tcPr>
            <w:tcW w:w="7514" w:type="dxa"/>
          </w:tcPr>
          <w:p w:rsidR="00E25312" w:rsidRPr="00E25312" w:rsidRDefault="00E25312" w:rsidP="0076277A">
            <w:pPr>
              <w:spacing w:before="60" w:after="60"/>
              <w:ind w:left="142" w:right="142"/>
              <w:rPr>
                <w:rFonts w:ascii="Arial" w:hAnsi="Arial" w:cs="Arial"/>
                <w:b/>
                <w:sz w:val="20"/>
                <w:szCs w:val="20"/>
              </w:rPr>
            </w:pPr>
            <w:r w:rsidRPr="00E25312">
              <w:rPr>
                <w:rFonts w:ascii="Arial" w:hAnsi="Arial" w:cs="Arial"/>
                <w:b/>
                <w:sz w:val="20"/>
                <w:szCs w:val="20"/>
              </w:rPr>
              <w:t>17.</w:t>
            </w:r>
            <w:r w:rsidRPr="00E25312">
              <w:rPr>
                <w:rFonts w:ascii="Arial" w:hAnsi="Arial" w:cs="Arial"/>
                <w:sz w:val="20"/>
                <w:szCs w:val="20"/>
              </w:rPr>
              <w:t xml:space="preserve"> A afirmação é verdadeira, na medida em que através do estudo dos vulcões é possível analisar as caraterísticas de materiais provenientes do interior da Terra, como</w:t>
            </w:r>
            <w:r w:rsidR="00A81302">
              <w:rPr>
                <w:rFonts w:ascii="Arial" w:hAnsi="Arial" w:cs="Arial"/>
                <w:sz w:val="20"/>
                <w:szCs w:val="20"/>
              </w:rPr>
              <w:t>,</w:t>
            </w:r>
            <w:r w:rsidRPr="00E25312">
              <w:rPr>
                <w:rFonts w:ascii="Arial" w:hAnsi="Arial" w:cs="Arial"/>
                <w:sz w:val="20"/>
                <w:szCs w:val="20"/>
              </w:rPr>
              <w:t xml:space="preserve"> por exemplo</w:t>
            </w:r>
            <w:r w:rsidR="00A81302">
              <w:rPr>
                <w:rFonts w:ascii="Arial" w:hAnsi="Arial" w:cs="Arial"/>
                <w:sz w:val="20"/>
                <w:szCs w:val="20"/>
              </w:rPr>
              <w:t>,</w:t>
            </w:r>
            <w:bookmarkStart w:id="0" w:name="_GoBack"/>
            <w:bookmarkEnd w:id="0"/>
            <w:r w:rsidRPr="00E25312">
              <w:rPr>
                <w:rFonts w:ascii="Arial" w:hAnsi="Arial" w:cs="Arial"/>
                <w:sz w:val="20"/>
                <w:szCs w:val="20"/>
              </w:rPr>
              <w:t xml:space="preserve"> a temperatura e composição da lava.</w:t>
            </w:r>
          </w:p>
        </w:tc>
        <w:tc>
          <w:tcPr>
            <w:tcW w:w="1559" w:type="dxa"/>
            <w:vAlign w:val="center"/>
          </w:tcPr>
          <w:p w:rsidR="00E25312" w:rsidRPr="00A95A5B" w:rsidRDefault="00A95A5B" w:rsidP="00A95A5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5A5B"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4E7CBA" w:rsidTr="008E27A2">
        <w:trPr>
          <w:trHeight w:val="453"/>
        </w:trPr>
        <w:tc>
          <w:tcPr>
            <w:tcW w:w="7514" w:type="dxa"/>
            <w:vAlign w:val="center"/>
          </w:tcPr>
          <w:p w:rsidR="004E7CBA" w:rsidRPr="000B191B" w:rsidRDefault="004E7CBA" w:rsidP="008E27A2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  <w:vAlign w:val="center"/>
          </w:tcPr>
          <w:p w:rsidR="004E7CBA" w:rsidRPr="000B191B" w:rsidRDefault="004E7CBA" w:rsidP="008E27A2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 w:rsidP="000B191B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0B191B">
      <w:pgSz w:w="11906" w:h="16838"/>
      <w:pgMar w:top="1134" w:right="127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92D7C"/>
    <w:rsid w:val="000B191B"/>
    <w:rsid w:val="00154004"/>
    <w:rsid w:val="001D37CD"/>
    <w:rsid w:val="00251407"/>
    <w:rsid w:val="002E6F34"/>
    <w:rsid w:val="003A0DEF"/>
    <w:rsid w:val="004C4E2D"/>
    <w:rsid w:val="004E7CBA"/>
    <w:rsid w:val="005A51BE"/>
    <w:rsid w:val="005F05AA"/>
    <w:rsid w:val="00667D5B"/>
    <w:rsid w:val="00685A24"/>
    <w:rsid w:val="006E4E68"/>
    <w:rsid w:val="0076277A"/>
    <w:rsid w:val="007D7C1D"/>
    <w:rsid w:val="008E27A2"/>
    <w:rsid w:val="008F21F5"/>
    <w:rsid w:val="008F56B0"/>
    <w:rsid w:val="009C22BC"/>
    <w:rsid w:val="009E571D"/>
    <w:rsid w:val="00A81302"/>
    <w:rsid w:val="00A95A5B"/>
    <w:rsid w:val="00BC29B2"/>
    <w:rsid w:val="00C24380"/>
    <w:rsid w:val="00C43CB0"/>
    <w:rsid w:val="00CB4F45"/>
    <w:rsid w:val="00D75933"/>
    <w:rsid w:val="00D96E12"/>
    <w:rsid w:val="00DD369C"/>
    <w:rsid w:val="00E25312"/>
    <w:rsid w:val="00E3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21D18-60A6-4310-9DD3-E96351C3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231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Sara Batista Moutinho</cp:lastModifiedBy>
  <cp:revision>21</cp:revision>
  <cp:lastPrinted>2014-10-17T11:36:00Z</cp:lastPrinted>
  <dcterms:created xsi:type="dcterms:W3CDTF">2014-10-16T14:58:00Z</dcterms:created>
  <dcterms:modified xsi:type="dcterms:W3CDTF">2015-04-02T16:18:00Z</dcterms:modified>
</cp:coreProperties>
</file>