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21C" w:rsidRDefault="006155E9" w:rsidP="006155E9">
      <w:pPr>
        <w:shd w:val="clear" w:color="auto" w:fill="C0504D" w:themeFill="accent2"/>
        <w:jc w:val="center"/>
        <w:rPr>
          <w:rFonts w:ascii="Arial" w:hAnsi="Arial" w:cs="Arial"/>
          <w:szCs w:val="21"/>
          <w:shd w:val="clear" w:color="auto" w:fill="0D0D0D" w:themeFill="text1" w:themeFillTint="F2"/>
        </w:rPr>
      </w:pPr>
      <w:r w:rsidRPr="006155E9">
        <w:rPr>
          <w:rFonts w:ascii="Arial" w:hAnsi="Arial" w:cs="Arial"/>
          <w:b/>
          <w:bCs/>
          <w:color w:val="FFFFFF"/>
          <w:sz w:val="36"/>
          <w:szCs w:val="36"/>
        </w:rPr>
        <w:t xml:space="preserve">Ficha de avaliação global </w:t>
      </w:r>
      <w:r w:rsidR="0046421C">
        <w:rPr>
          <w:rFonts w:ascii="Arial" w:hAnsi="Arial" w:cs="Arial"/>
          <w:b/>
          <w:bCs/>
          <w:color w:val="FFFFFF"/>
          <w:sz w:val="36"/>
          <w:szCs w:val="36"/>
        </w:rPr>
        <w:t>3</w:t>
      </w:r>
    </w:p>
    <w:p w:rsidR="0046421C" w:rsidRDefault="0046421C" w:rsidP="0046421C">
      <w:pPr>
        <w:rPr>
          <w:rFonts w:ascii="Arial" w:hAnsi="Arial" w:cs="Arial"/>
          <w:szCs w:val="21"/>
        </w:rPr>
      </w:pPr>
    </w:p>
    <w:p w:rsidR="00874331" w:rsidRPr="0046421C" w:rsidRDefault="0046421C" w:rsidP="0046421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3181985</wp:posOffset>
            </wp:positionH>
            <wp:positionV relativeFrom="paragraph">
              <wp:posOffset>93980</wp:posOffset>
            </wp:positionV>
            <wp:extent cx="2842895" cy="1988820"/>
            <wp:effectExtent l="19050" t="0" r="0" b="0"/>
            <wp:wrapSquare wrapText="bothSides"/>
            <wp:docPr id="1" name="Imagem 0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89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421C">
        <w:rPr>
          <w:rFonts w:ascii="Arial" w:hAnsi="Arial" w:cs="Arial"/>
          <w:b/>
          <w:bCs/>
          <w:sz w:val="24"/>
          <w:szCs w:val="24"/>
        </w:rPr>
        <w:t>Grupo I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color w:val="000000"/>
        </w:rPr>
        <w:t>Um dos grandes desafios para a Humanidade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é produzir alimentos suficientes para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se sustentar sem destruir o ambiente.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Neste contexto, tem de ser ponderada a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crescente utilização de pesticidas, já que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conduz a efeitos indesejáveis, tanto para o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Homem, através da contaminação ambiental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ou de acidentes, como para a vida</w:t>
      </w:r>
    </w:p>
    <w:p w:rsidR="00B0219A" w:rsidRDefault="0046421C" w:rsidP="0046421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pt-PT"/>
        </w:rPr>
        <w:pict>
          <v:rect id="_x0000_s1026" style="position:absolute;left:0;text-align:left;margin-left:254.35pt;margin-top:30.9pt;width:271.65pt;height:25.75pt;z-index:251657215" stroked="f">
            <v:textbox>
              <w:txbxContent>
                <w:p w:rsidR="0046421C" w:rsidRPr="0046421C" w:rsidRDefault="0046421C" w:rsidP="0046421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46421C">
                    <w:rPr>
                      <w:rFonts w:ascii="Arial" w:hAnsi="Arial" w:cs="Arial"/>
                      <w:b/>
                      <w:bCs/>
                      <w:color w:val="DA0000"/>
                      <w:sz w:val="16"/>
                      <w:szCs w:val="16"/>
                    </w:rPr>
                    <w:t xml:space="preserve">Figura 1 · </w:t>
                  </w:r>
                  <w:r w:rsidRPr="0046421C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Concentração de quatro contaminantes em cinco</w:t>
                  </w:r>
                </w:p>
                <w:p w:rsidR="0046421C" w:rsidRPr="0046421C" w:rsidRDefault="0046421C" w:rsidP="0046421C">
                  <w:pPr>
                    <w:spacing w:after="0" w:line="240" w:lineRule="auto"/>
                    <w:ind w:left="-57" w:right="-5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6421C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níveis tróficos da lagoa de Vaccarès.</w:t>
                  </w:r>
                </w:p>
              </w:txbxContent>
            </v:textbox>
          </v:rect>
        </w:pict>
      </w:r>
      <w:r w:rsidRPr="0046421C">
        <w:rPr>
          <w:rFonts w:ascii="Arial" w:hAnsi="Arial" w:cs="Arial"/>
          <w:color w:val="000000"/>
        </w:rPr>
        <w:t>selvagem. O termo pesticida advém da palavra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peste, a qual se aplica a qualquer animal,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planta ou microrganismo que vive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onde não é desejado, sendo aplicado a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 xml:space="preserve">uma substância que 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color w:val="000000"/>
        </w:rPr>
        <w:t>anula, destrói ou diminui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a capacidade de uma peste competir com outros organismos. Grande parte destes compostos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apresenta uma alta estabilidade, não sendo rapidamente degradados pelos organismos ou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fatores abióticos do meio, o que lhes permite acumularem-se nos tecidos dos organismos, num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processo designado por bioacumulação, e passarem através da cadeia alimentar. Ao aumento de</w:t>
      </w:r>
      <w:r>
        <w:rPr>
          <w:rFonts w:ascii="Arial" w:hAnsi="Arial" w:cs="Arial"/>
          <w:color w:val="000000"/>
        </w:rPr>
        <w:t xml:space="preserve"> </w:t>
      </w:r>
      <w:r w:rsidRPr="0046421C">
        <w:rPr>
          <w:rFonts w:ascii="Arial" w:hAnsi="Arial" w:cs="Arial"/>
          <w:color w:val="000000"/>
        </w:rPr>
        <w:t>concentração da substância tóxica por nível trófico chama-se bioampliação.</w:t>
      </w:r>
    </w:p>
    <w:p w:rsidR="0046421C" w:rsidRDefault="0046421C" w:rsidP="0046421C">
      <w:pPr>
        <w:autoSpaceDE w:val="0"/>
        <w:autoSpaceDN w:val="0"/>
        <w:adjustRightInd w:val="0"/>
        <w:spacing w:before="120" w:after="0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  <w:r w:rsidRPr="0046421C">
        <w:rPr>
          <w:rFonts w:ascii="Arial" w:hAnsi="Arial" w:cs="Arial"/>
          <w:color w:val="000000"/>
          <w:sz w:val="16"/>
          <w:szCs w:val="16"/>
          <w:lang w:val="en-US"/>
        </w:rPr>
        <w:t xml:space="preserve">Roche (2009), </w:t>
      </w:r>
      <w:proofErr w:type="spellStart"/>
      <w:r w:rsidRPr="0046421C">
        <w:rPr>
          <w:rFonts w:ascii="Arial" w:hAnsi="Arial" w:cs="Arial"/>
          <w:color w:val="000000"/>
          <w:sz w:val="16"/>
          <w:szCs w:val="16"/>
          <w:lang w:val="en-US"/>
        </w:rPr>
        <w:t>Organochlorines</w:t>
      </w:r>
      <w:proofErr w:type="spellEnd"/>
      <w:r w:rsidRPr="0046421C">
        <w:rPr>
          <w:rFonts w:ascii="Arial" w:hAnsi="Arial" w:cs="Arial"/>
          <w:color w:val="000000"/>
          <w:sz w:val="16"/>
          <w:szCs w:val="16"/>
          <w:lang w:val="en-US"/>
        </w:rPr>
        <w:t xml:space="preserve"> in the </w:t>
      </w:r>
      <w:proofErr w:type="spellStart"/>
      <w:r w:rsidRPr="0046421C">
        <w:rPr>
          <w:rFonts w:ascii="Arial" w:hAnsi="Arial" w:cs="Arial"/>
          <w:color w:val="000000"/>
          <w:sz w:val="16"/>
          <w:szCs w:val="16"/>
          <w:lang w:val="en-US"/>
        </w:rPr>
        <w:t>Vaccare’s</w:t>
      </w:r>
      <w:proofErr w:type="spellEnd"/>
      <w:r w:rsidRPr="0046421C">
        <w:rPr>
          <w:rFonts w:ascii="Arial" w:hAnsi="Arial" w:cs="Arial"/>
          <w:color w:val="000000"/>
          <w:sz w:val="16"/>
          <w:szCs w:val="16"/>
          <w:lang w:val="en-US"/>
        </w:rPr>
        <w:t xml:space="preserve"> Lagoon </w:t>
      </w:r>
      <w:proofErr w:type="spellStart"/>
      <w:r w:rsidRPr="0046421C">
        <w:rPr>
          <w:rFonts w:ascii="Arial" w:hAnsi="Arial" w:cs="Arial"/>
          <w:color w:val="000000"/>
          <w:sz w:val="16"/>
          <w:szCs w:val="16"/>
          <w:lang w:val="en-US"/>
        </w:rPr>
        <w:t>trophic</w:t>
      </w:r>
      <w:proofErr w:type="spellEnd"/>
      <w:r w:rsidRPr="0046421C">
        <w:rPr>
          <w:rFonts w:ascii="Arial" w:hAnsi="Arial" w:cs="Arial"/>
          <w:color w:val="000000"/>
          <w:sz w:val="16"/>
          <w:szCs w:val="16"/>
          <w:lang w:val="en-US"/>
        </w:rPr>
        <w:t xml:space="preserve"> web (Biosphere Reserve of </w:t>
      </w:r>
      <w:proofErr w:type="spellStart"/>
      <w:r w:rsidRPr="0046421C">
        <w:rPr>
          <w:rFonts w:ascii="Arial" w:hAnsi="Arial" w:cs="Arial"/>
          <w:color w:val="000000"/>
          <w:sz w:val="16"/>
          <w:szCs w:val="16"/>
          <w:lang w:val="en-US"/>
        </w:rPr>
        <w:t>Camargue</w:t>
      </w:r>
      <w:proofErr w:type="spellEnd"/>
      <w:r w:rsidRPr="0046421C">
        <w:rPr>
          <w:rFonts w:ascii="Arial" w:hAnsi="Arial" w:cs="Arial"/>
          <w:color w:val="000000"/>
          <w:sz w:val="16"/>
          <w:szCs w:val="16"/>
          <w:lang w:val="en-US"/>
        </w:rPr>
        <w:t>, France) (</w:t>
      </w:r>
      <w:proofErr w:type="spellStart"/>
      <w:r w:rsidRPr="0046421C">
        <w:rPr>
          <w:rFonts w:ascii="Arial" w:hAnsi="Arial" w:cs="Arial"/>
          <w:color w:val="000000"/>
          <w:sz w:val="16"/>
          <w:szCs w:val="16"/>
          <w:lang w:val="en-US"/>
        </w:rPr>
        <w:t>adaptado</w:t>
      </w:r>
      <w:proofErr w:type="spellEnd"/>
      <w:r w:rsidRPr="0046421C">
        <w:rPr>
          <w:rFonts w:ascii="Arial" w:hAnsi="Arial" w:cs="Arial"/>
          <w:color w:val="000000"/>
          <w:sz w:val="16"/>
          <w:szCs w:val="16"/>
          <w:lang w:val="en-US"/>
        </w:rPr>
        <w:t>)</w:t>
      </w:r>
    </w:p>
    <w:p w:rsidR="0046421C" w:rsidRDefault="0046421C" w:rsidP="0046421C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46421C" w:rsidRPr="0046421C" w:rsidRDefault="0046421C" w:rsidP="0046421C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46421C" w:rsidRPr="0046421C" w:rsidRDefault="0046421C" w:rsidP="0046421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46421C">
        <w:rPr>
          <w:rFonts w:ascii="Arial" w:hAnsi="Arial" w:cs="Arial"/>
          <w:b/>
          <w:bCs/>
          <w:color w:val="DA0000"/>
          <w:sz w:val="20"/>
          <w:szCs w:val="20"/>
        </w:rPr>
        <w:t>1. Na resposta a cada um dos itens de 1.1. a 1.5., seleciona a única opção que permite obter uma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46421C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46421C" w:rsidRPr="0046421C" w:rsidRDefault="0046421C" w:rsidP="0046421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1.1. </w:t>
      </w:r>
      <w:r w:rsidRPr="0046421C">
        <w:rPr>
          <w:rFonts w:ascii="Arial" w:hAnsi="Arial" w:cs="Arial"/>
          <w:color w:val="000000"/>
        </w:rPr>
        <w:t>De acordo com os dados, o contaminante mais abundante é o…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(A) </w:t>
      </w:r>
      <w:r w:rsidRPr="0046421C">
        <w:rPr>
          <w:rFonts w:ascii="Arial" w:hAnsi="Arial" w:cs="Arial"/>
          <w:color w:val="000000"/>
        </w:rPr>
        <w:t>… Fipronil.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(B) </w:t>
      </w:r>
      <w:r w:rsidRPr="0046421C">
        <w:rPr>
          <w:rFonts w:ascii="Arial" w:hAnsi="Arial" w:cs="Arial"/>
          <w:color w:val="000000"/>
        </w:rPr>
        <w:t>… Lindano.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(C) </w:t>
      </w:r>
      <w:r w:rsidRPr="0046421C">
        <w:rPr>
          <w:rFonts w:ascii="Arial" w:hAnsi="Arial" w:cs="Arial"/>
          <w:color w:val="000000"/>
        </w:rPr>
        <w:t>… Endossulfão.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(D) </w:t>
      </w:r>
      <w:r w:rsidRPr="0046421C">
        <w:rPr>
          <w:rFonts w:ascii="Arial" w:hAnsi="Arial" w:cs="Arial"/>
          <w:color w:val="000000"/>
        </w:rPr>
        <w:t>… Diuron.</w:t>
      </w:r>
    </w:p>
    <w:p w:rsidR="0046421C" w:rsidRPr="0046421C" w:rsidRDefault="0046421C" w:rsidP="0046421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1.2. </w:t>
      </w:r>
      <w:r w:rsidRPr="0046421C">
        <w:rPr>
          <w:rFonts w:ascii="Arial" w:hAnsi="Arial" w:cs="Arial"/>
          <w:color w:val="000000"/>
        </w:rPr>
        <w:t>O fenómeno de bioacumulação é…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(A) </w:t>
      </w:r>
      <w:r w:rsidRPr="0046421C">
        <w:rPr>
          <w:rFonts w:ascii="Arial" w:hAnsi="Arial" w:cs="Arial"/>
          <w:color w:val="000000"/>
        </w:rPr>
        <w:t>… o mecanismo de passagem de energia ao longo da cadeia alimentar.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(B) </w:t>
      </w:r>
      <w:r w:rsidRPr="0046421C">
        <w:rPr>
          <w:rFonts w:ascii="Arial" w:hAnsi="Arial" w:cs="Arial"/>
          <w:color w:val="000000"/>
        </w:rPr>
        <w:t>… o processo mediado por bactérias que permite a acumulação de nutrientes nos solos.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(C) </w:t>
      </w:r>
      <w:r w:rsidRPr="0046421C">
        <w:rPr>
          <w:rFonts w:ascii="Arial" w:hAnsi="Arial" w:cs="Arial"/>
          <w:color w:val="000000"/>
        </w:rPr>
        <w:t>… o crescimento das populações de presas aquando do desaparecimento do predador.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(D) </w:t>
      </w:r>
      <w:r w:rsidRPr="0046421C">
        <w:rPr>
          <w:rFonts w:ascii="Arial" w:hAnsi="Arial" w:cs="Arial"/>
          <w:color w:val="000000"/>
        </w:rPr>
        <w:t>… o processo pelo qual os seres vivos absorvem e retêm substâncias químicas no seu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color w:val="000000"/>
        </w:rPr>
        <w:t>organismo.</w:t>
      </w:r>
    </w:p>
    <w:p w:rsidR="0046421C" w:rsidRPr="0046421C" w:rsidRDefault="0046421C" w:rsidP="0046421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1.3. </w:t>
      </w:r>
      <w:r w:rsidRPr="0046421C">
        <w:rPr>
          <w:rFonts w:ascii="Arial" w:hAnsi="Arial" w:cs="Arial"/>
          <w:color w:val="000000"/>
        </w:rPr>
        <w:t>De acordo com o estudo efetuado…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(A) </w:t>
      </w:r>
      <w:r w:rsidRPr="0046421C">
        <w:rPr>
          <w:rFonts w:ascii="Arial" w:hAnsi="Arial" w:cs="Arial"/>
          <w:color w:val="000000"/>
        </w:rPr>
        <w:t>… a concentração de contaminantes é igual em todos os níveis tróficos.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(B) </w:t>
      </w:r>
      <w:r w:rsidRPr="0046421C">
        <w:rPr>
          <w:rFonts w:ascii="Arial" w:hAnsi="Arial" w:cs="Arial"/>
          <w:color w:val="000000"/>
        </w:rPr>
        <w:t>… os produtores apresentam uma maior concentração de contaminantes.</w:t>
      </w:r>
    </w:p>
    <w:p w:rsidR="0046421C" w:rsidRPr="0046421C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(C) </w:t>
      </w:r>
      <w:r w:rsidRPr="0046421C">
        <w:rPr>
          <w:rFonts w:ascii="Arial" w:hAnsi="Arial" w:cs="Arial"/>
          <w:color w:val="000000"/>
        </w:rPr>
        <w:t>… ao longo da cadeia alimentar vai ocorrer um aumento da concentração de contaminantes.</w:t>
      </w:r>
    </w:p>
    <w:p w:rsidR="003366B7" w:rsidRDefault="0046421C" w:rsidP="0046421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6421C">
        <w:rPr>
          <w:rFonts w:ascii="Arial" w:hAnsi="Arial" w:cs="Arial"/>
          <w:b/>
          <w:bCs/>
          <w:color w:val="000000"/>
        </w:rPr>
        <w:t xml:space="preserve">(D) </w:t>
      </w:r>
      <w:r w:rsidRPr="0046421C">
        <w:rPr>
          <w:rFonts w:ascii="Arial" w:hAnsi="Arial" w:cs="Arial"/>
          <w:color w:val="000000"/>
        </w:rPr>
        <w:t>… os predadores de topo conseguem eliminar os contaminantes mais eficazmente do que os herbívoros.</w:t>
      </w:r>
    </w:p>
    <w:p w:rsidR="003366B7" w:rsidRDefault="003366B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</w:rPr>
      </w:pPr>
      <w:r w:rsidRPr="003366B7">
        <w:rPr>
          <w:rFonts w:ascii="Arial" w:hAnsi="Arial" w:cs="Arial"/>
          <w:b/>
          <w:bCs/>
        </w:rPr>
        <w:lastRenderedPageBreak/>
        <w:t xml:space="preserve">1.4. </w:t>
      </w:r>
      <w:r w:rsidRPr="003366B7">
        <w:rPr>
          <w:rFonts w:ascii="Arial" w:hAnsi="Arial" w:cs="Arial"/>
        </w:rPr>
        <w:t xml:space="preserve">Indica </w:t>
      </w:r>
      <w:r w:rsidRPr="003366B7">
        <w:rPr>
          <w:rFonts w:ascii="Arial" w:hAnsi="Arial" w:cs="Arial"/>
          <w:color w:val="000000"/>
        </w:rPr>
        <w:t>qual</w:t>
      </w:r>
      <w:r w:rsidRPr="003366B7">
        <w:rPr>
          <w:rFonts w:ascii="Arial" w:hAnsi="Arial" w:cs="Arial"/>
        </w:rPr>
        <w:t xml:space="preserve"> dos </w:t>
      </w:r>
      <w:r w:rsidRPr="003366B7">
        <w:rPr>
          <w:rFonts w:ascii="Arial" w:hAnsi="Arial" w:cs="Arial"/>
          <w:color w:val="000000"/>
        </w:rPr>
        <w:t>gráficos</w:t>
      </w:r>
      <w:r w:rsidRPr="003366B7">
        <w:rPr>
          <w:rFonts w:ascii="Arial" w:hAnsi="Arial" w:cs="Arial"/>
        </w:rPr>
        <w:t xml:space="preserve"> representa melhor a variação da população de herbívoros ao</w:t>
      </w:r>
    </w:p>
    <w:p w:rsidR="0046421C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</w:rPr>
      </w:pPr>
      <w:r w:rsidRPr="003366B7">
        <w:rPr>
          <w:rFonts w:ascii="Arial" w:hAnsi="Arial" w:cs="Arial"/>
        </w:rPr>
        <w:t>longo do tempo se fossem eliminados os carnívoros.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</w:rPr>
      </w:pPr>
      <w:r w:rsidRPr="003366B7">
        <w:rPr>
          <w:rFonts w:ascii="Arial" w:hAnsi="Arial" w:cs="Arial"/>
          <w:noProof/>
          <w:lang w:eastAsia="pt-PT"/>
        </w:rPr>
        <w:drawing>
          <wp:inline distT="0" distB="0" distL="0" distR="0">
            <wp:extent cx="5483352" cy="1167384"/>
            <wp:effectExtent l="19050" t="0" r="3048" b="0"/>
            <wp:docPr id="2" name="Imagem 1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3352" cy="116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DA0000"/>
          <w:sz w:val="18"/>
          <w:szCs w:val="18"/>
        </w:rPr>
      </w:pPr>
      <w:r w:rsidRPr="003366B7">
        <w:rPr>
          <w:rFonts w:ascii="Arial" w:hAnsi="Arial" w:cs="Arial"/>
          <w:b/>
          <w:bCs/>
          <w:color w:val="DA0000"/>
          <w:sz w:val="18"/>
          <w:szCs w:val="18"/>
        </w:rPr>
        <w:t>Figura 2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1.5. </w:t>
      </w:r>
      <w:r w:rsidRPr="003366B7">
        <w:rPr>
          <w:rFonts w:ascii="Arial" w:hAnsi="Arial" w:cs="Arial"/>
          <w:color w:val="000000"/>
        </w:rPr>
        <w:t>Os produtores são seres…</w:t>
      </w:r>
    </w:p>
    <w:p w:rsid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000000"/>
        </w:rPr>
        <w:sectPr w:rsidR="003366B7" w:rsidSect="0046421C"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… heterotróficos, pois conseguem produzir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a sua matéria orgânica a partir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da matéria inorgânica do meio.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… autotróficos, pois conseguem produzir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a sua matéria orgânica a partir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da matéria inorgânica do meio.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… heterotróficos, porque obtêm a energia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de que necessitam pela ingestão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de outros seres vivos.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… autotróficos, porque obtêm a energia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de que necessitam pela ingestão de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outros seres vivos.</w:t>
      </w:r>
    </w:p>
    <w:p w:rsid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  <w:sectPr w:rsidR="003366B7" w:rsidSect="003366B7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2. Refere duas formas de estes contaminantes poderem passar para os seres humanos.</w:t>
      </w:r>
    </w:p>
    <w:p w:rsid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3. A pele húmida dos anfíbios é bastante fina e vascularizada, o que lhes facilita a absorção de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substâncias através desta, tornando-os vulneráveis a contaminantes que existam no meio. Para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avaliar o impacte dos pesticidas nas populações de anfíbios de campos agrícolas, foram testados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sete tipos de pesticidas numa amostra de 150 rãs-comuns (Rana temporaria). Os animais foram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mantidos em laboratório, em solos cultivados com cevada, e foram pulverizados com três</w:t>
      </w:r>
    </w:p>
    <w:p w:rsid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concentrações distintas (1 x – concentração recomendada no rótulo do produto; 0,1 x – um</w:t>
      </w:r>
    </w:p>
    <w:p w:rsid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décimo da concentração recomendada; 10 x – dez vezes a concentração recomendada).</w:t>
      </w:r>
    </w:p>
    <w:p w:rsidR="003366B7" w:rsidRDefault="003366B7" w:rsidP="003366B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DA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DA0000"/>
          <w:sz w:val="20"/>
          <w:szCs w:val="20"/>
          <w:lang w:eastAsia="pt-PT"/>
        </w:rPr>
        <w:drawing>
          <wp:inline distT="0" distB="0" distL="0" distR="0">
            <wp:extent cx="4105656" cy="1965960"/>
            <wp:effectExtent l="19050" t="0" r="9144" b="0"/>
            <wp:docPr id="3" name="Imagem 2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656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6B7" w:rsidRPr="003366B7" w:rsidRDefault="003366B7" w:rsidP="003366B7">
      <w:pPr>
        <w:autoSpaceDE w:val="0"/>
        <w:autoSpaceDN w:val="0"/>
        <w:adjustRightInd w:val="0"/>
        <w:spacing w:after="0" w:line="240" w:lineRule="auto"/>
        <w:ind w:left="1843"/>
        <w:rPr>
          <w:rFonts w:ascii="Arial" w:hAnsi="Arial" w:cs="Arial"/>
          <w:color w:val="000000"/>
          <w:sz w:val="18"/>
          <w:szCs w:val="18"/>
        </w:rPr>
      </w:pPr>
      <w:r w:rsidRPr="003366B7">
        <w:rPr>
          <w:rFonts w:ascii="Arial" w:hAnsi="Arial" w:cs="Arial"/>
          <w:b/>
          <w:bCs/>
          <w:color w:val="DA0000"/>
          <w:sz w:val="18"/>
          <w:szCs w:val="18"/>
        </w:rPr>
        <w:t xml:space="preserve">Figura 3 · </w:t>
      </w:r>
      <w:r w:rsidRPr="003366B7">
        <w:rPr>
          <w:rFonts w:ascii="Arial" w:hAnsi="Arial" w:cs="Arial"/>
          <w:color w:val="000000"/>
          <w:sz w:val="18"/>
          <w:szCs w:val="18"/>
        </w:rPr>
        <w:t>Mortalidade de juvenis de rã-comum após a pulverização com sete pesticidas.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  <w:proofErr w:type="spellStart"/>
      <w:r w:rsidRPr="003366B7">
        <w:rPr>
          <w:rFonts w:ascii="Arial" w:hAnsi="Arial" w:cs="Arial"/>
          <w:color w:val="000000"/>
          <w:sz w:val="16"/>
          <w:szCs w:val="16"/>
          <w:lang w:val="en-US"/>
        </w:rPr>
        <w:t>Carsten</w:t>
      </w:r>
      <w:proofErr w:type="spellEnd"/>
      <w:r w:rsidRPr="003366B7">
        <w:rPr>
          <w:rFonts w:ascii="Arial" w:hAnsi="Arial" w:cs="Arial"/>
          <w:color w:val="000000"/>
          <w:sz w:val="16"/>
          <w:szCs w:val="16"/>
          <w:lang w:val="en-US"/>
        </w:rPr>
        <w:t xml:space="preserve"> (2013), Terrestrial pesticide exposure of amphibians: An underestimated cause of global decline (</w:t>
      </w:r>
      <w:proofErr w:type="spellStart"/>
      <w:r w:rsidRPr="003366B7">
        <w:rPr>
          <w:rFonts w:ascii="Arial" w:hAnsi="Arial" w:cs="Arial"/>
          <w:color w:val="000000"/>
          <w:sz w:val="16"/>
          <w:szCs w:val="16"/>
          <w:lang w:val="en-US"/>
        </w:rPr>
        <w:t>adaptado</w:t>
      </w:r>
      <w:proofErr w:type="spellEnd"/>
      <w:r w:rsidRPr="003366B7">
        <w:rPr>
          <w:rFonts w:ascii="Arial" w:hAnsi="Arial" w:cs="Arial"/>
          <w:color w:val="000000"/>
          <w:sz w:val="16"/>
          <w:szCs w:val="16"/>
          <w:lang w:val="en-US"/>
        </w:rPr>
        <w:t>)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</w:rPr>
      </w:pPr>
      <w:r w:rsidRPr="003366B7">
        <w:rPr>
          <w:rFonts w:ascii="Arial" w:hAnsi="Arial" w:cs="Arial"/>
          <w:b/>
          <w:bCs/>
        </w:rPr>
        <w:t xml:space="preserve">3.1. </w:t>
      </w:r>
      <w:r w:rsidRPr="003366B7">
        <w:rPr>
          <w:rFonts w:ascii="Arial" w:hAnsi="Arial" w:cs="Arial"/>
        </w:rPr>
        <w:t xml:space="preserve">Indica </w:t>
      </w:r>
      <w:r w:rsidRPr="003366B7">
        <w:rPr>
          <w:rFonts w:ascii="Arial" w:hAnsi="Arial" w:cs="Arial"/>
          <w:color w:val="000000"/>
        </w:rPr>
        <w:t>quais</w:t>
      </w:r>
      <w:r w:rsidRPr="003366B7">
        <w:rPr>
          <w:rFonts w:ascii="Arial" w:hAnsi="Arial" w:cs="Arial"/>
        </w:rPr>
        <w:t xml:space="preserve"> são os pesticidas que causam maior mortalidade nos anfíbios, quando usados</w:t>
      </w:r>
      <w:r>
        <w:rPr>
          <w:rFonts w:ascii="Arial" w:hAnsi="Arial" w:cs="Arial"/>
        </w:rPr>
        <w:t xml:space="preserve"> </w:t>
      </w:r>
      <w:r w:rsidRPr="003366B7">
        <w:rPr>
          <w:rFonts w:ascii="Arial" w:hAnsi="Arial" w:cs="Arial"/>
        </w:rPr>
        <w:t>nas concentrações recomendadas no rótulo.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</w:rPr>
        <w:t xml:space="preserve">3.2. </w:t>
      </w:r>
      <w:r w:rsidRPr="003366B7">
        <w:rPr>
          <w:rFonts w:ascii="Arial" w:hAnsi="Arial" w:cs="Arial"/>
        </w:rPr>
        <w:t xml:space="preserve">Explica </w:t>
      </w:r>
      <w:r w:rsidRPr="003366B7">
        <w:rPr>
          <w:rFonts w:ascii="Arial" w:hAnsi="Arial" w:cs="Arial"/>
          <w:color w:val="000000"/>
        </w:rPr>
        <w:t>quais</w:t>
      </w:r>
      <w:r w:rsidRPr="003366B7">
        <w:rPr>
          <w:rFonts w:ascii="Arial" w:hAnsi="Arial" w:cs="Arial"/>
        </w:rPr>
        <w:t xml:space="preserve"> as consequências da aplicação generalizada de pesticidas na agricultura,</w:t>
      </w:r>
      <w:r>
        <w:rPr>
          <w:rFonts w:ascii="Arial" w:hAnsi="Arial" w:cs="Arial"/>
        </w:rPr>
        <w:t xml:space="preserve"> </w:t>
      </w:r>
      <w:r w:rsidRPr="003366B7">
        <w:rPr>
          <w:rFonts w:ascii="Arial" w:hAnsi="Arial" w:cs="Arial"/>
        </w:rPr>
        <w:t>para as populações de predadores que se alimentam de anfíbios.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3366B7" w:rsidRDefault="003366B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366B7">
        <w:rPr>
          <w:rFonts w:ascii="Arial" w:hAnsi="Arial" w:cs="Arial"/>
          <w:b/>
          <w:bCs/>
          <w:sz w:val="24"/>
          <w:szCs w:val="24"/>
        </w:rPr>
        <w:t>Grupo II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Apesar de pouco divulgado, os anfíbios são os animais mais ameaçados entre os vertebrados.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Mais de 100 espécies já desapareceram nos últimos séculos – de forma mais acentuada nos últimos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30 a 40 anos –, outras centenas estão em declínio populacional e quase um terço das 5743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espécies é considerado ameaçado de extinção. Inúmeras hipótese foram propostas para explicar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esses declínios.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 perda e a fragmentação dos habitats naturais são frequentemente apontadas como as principais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ameaças aos anfíbios. A perda de habitat reduz diretamente a área e distribuição geográfica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das espécies, reduzindo os seus tamanhos populacionais.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Juntamente com a destruição da vegetação natural, o uso extensivo dos pesticidas e fertilizantes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ameaça os anfíbios. Herbicidas como a Atrazina e o Roundup apresentam comprovados efeitos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negativos nos anfíbios de larvas aquáticas, diminuindo as taxas de sobrevivência dos indivíduos,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principalmente no início do ciclo de vida. Agroquímicos aplicados localmente podem ser transportados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pela atmosfera por grandes distâncias, e os seus efeitos nos anfíbios podem ser sentidos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até mesmo em regiões aparentemente livres de influência humana direta. Outra ameaça potencial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aos anfíbios é a chuva ácida, uma vez que embriões e larvas são muito vulneráveis aos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efeitos da acidez. Os contaminantes químicos também são apontados como principais responsáveis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pelo aumento das taxas de deformidades em sapos, rãs e salamandras. Indivíduos com malformações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ocorrem, principalmente, em áreas agrícolas onde inseticidas e fertilizantes são aplicados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extensivamente.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 destruição da camada de ozono, principalmente pelo uso de CFC, tem aumentado significativamente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 radiação UV-B, especialmente em grandes latitudes. Nos anfíbios, o aumento da radiação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UV-B pode retardar as taxas de crescimento, causar problemas no sistema imunológico e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ainda uma série de ameaças não letais, incluindo mudanças no comportamento dos animais e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3366B7">
        <w:rPr>
          <w:rFonts w:ascii="Arial" w:hAnsi="Arial" w:cs="Arial"/>
        </w:rPr>
        <w:t>malformações durante o período de desenvolvimento.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</w:rPr>
      </w:pPr>
      <w:r w:rsidRPr="003366B7">
        <w:rPr>
          <w:rFonts w:ascii="Arial" w:hAnsi="Arial" w:cs="Arial"/>
          <w:sz w:val="16"/>
          <w:szCs w:val="16"/>
        </w:rPr>
        <w:t>Scientific American Brasil, maio de 2008 (adaptado)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</w:rPr>
      </w:pPr>
    </w:p>
    <w:p w:rsid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eastAsia="pt-PT"/>
        </w:rPr>
        <w:drawing>
          <wp:inline distT="0" distB="0" distL="0" distR="0">
            <wp:extent cx="4556760" cy="2807208"/>
            <wp:effectExtent l="19050" t="0" r="0" b="0"/>
            <wp:docPr id="6" name="Imagem 5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280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6B7" w:rsidRDefault="003366B7" w:rsidP="003366B7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Cs w:val="21"/>
        </w:rPr>
        <w:tab/>
      </w:r>
      <w:r w:rsidRPr="003366B7">
        <w:rPr>
          <w:rFonts w:ascii="Arial" w:hAnsi="Arial" w:cs="Arial"/>
          <w:b/>
          <w:bCs/>
          <w:color w:val="DA0000"/>
          <w:sz w:val="18"/>
          <w:szCs w:val="18"/>
        </w:rPr>
        <w:t xml:space="preserve">Figura 4 · </w:t>
      </w:r>
      <w:r w:rsidRPr="003366B7">
        <w:rPr>
          <w:rFonts w:ascii="Arial" w:hAnsi="Arial" w:cs="Arial"/>
          <w:color w:val="000000"/>
          <w:sz w:val="18"/>
          <w:szCs w:val="18"/>
        </w:rPr>
        <w:t>Intervalos de sobrevivência ao pH de algumas espécies.</w:t>
      </w:r>
    </w:p>
    <w:p w:rsidR="003366B7" w:rsidRDefault="003366B7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 w:type="page"/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1. Na resposta a cada um dos itens de 1.1. a 1.7., seleciona a única opção que permite obter uma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1.1. </w:t>
      </w:r>
      <w:r w:rsidRPr="003366B7">
        <w:rPr>
          <w:rFonts w:ascii="Arial" w:hAnsi="Arial" w:cs="Arial"/>
          <w:color w:val="000000"/>
        </w:rPr>
        <w:t xml:space="preserve">Os </w:t>
      </w:r>
      <w:r w:rsidRPr="003366B7">
        <w:rPr>
          <w:rFonts w:ascii="Arial" w:hAnsi="Arial" w:cs="Arial"/>
        </w:rPr>
        <w:t>principais</w:t>
      </w:r>
      <w:r w:rsidRPr="003366B7">
        <w:rPr>
          <w:rFonts w:ascii="Arial" w:hAnsi="Arial" w:cs="Arial"/>
          <w:color w:val="000000"/>
        </w:rPr>
        <w:t xml:space="preserve"> fatores críticos, que estão na origem da degradação dos ecossistemas do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planeta Terra, são…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… a introdução de espécies invasoras, a desflorestação e a migração das espécies.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… o efeito-estufa, a poluição e a reflorestação.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… as alterações climáticas, a reintrodução de espécies protegidas e poluição.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… a destruição de habitats, as alterações climáticas e a sobre-exploração dos recursos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naturais.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1.2. </w:t>
      </w:r>
      <w:r w:rsidRPr="003366B7">
        <w:rPr>
          <w:rFonts w:ascii="Arial" w:hAnsi="Arial" w:cs="Arial"/>
          <w:color w:val="000000"/>
        </w:rPr>
        <w:t xml:space="preserve">O efeito a </w:t>
      </w:r>
      <w:r w:rsidRPr="003366B7">
        <w:rPr>
          <w:rFonts w:ascii="Arial" w:hAnsi="Arial" w:cs="Arial"/>
        </w:rPr>
        <w:t>longo</w:t>
      </w:r>
      <w:r w:rsidRPr="003366B7">
        <w:rPr>
          <w:rFonts w:ascii="Arial" w:hAnsi="Arial" w:cs="Arial"/>
          <w:color w:val="000000"/>
        </w:rPr>
        <w:t xml:space="preserve"> prazo do herbicida Atrazina deve-se ao facto de ser um poluente…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… não degradável que permanece inalterado durante muito tempo.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… biodegradável que permanece inalterado durante muito tempo.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… não degradável que é decomposto por processos naturais.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… biodegradável que é decomposto por processos naturais.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1.3. </w:t>
      </w:r>
      <w:r w:rsidRPr="003366B7">
        <w:rPr>
          <w:rFonts w:ascii="Arial" w:hAnsi="Arial" w:cs="Arial"/>
          <w:color w:val="000000"/>
        </w:rPr>
        <w:t>O uso intensivo de pesticidas químicos…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… é um dos métodos mais usados numa agricultura sustentável.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… provoca desequilíbrios nas teias alimentares devido à eliminação das espécies.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… não traz problemas para a saúde das populações que consomem esses alimentos.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… elimina apenas as espécies que constituem pragas agrícolas.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1.4. </w:t>
      </w:r>
      <w:r w:rsidRPr="003366B7">
        <w:rPr>
          <w:rFonts w:ascii="Arial" w:hAnsi="Arial" w:cs="Arial"/>
          <w:color w:val="000000"/>
        </w:rPr>
        <w:t>As principais causas da chuva ácida são…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… os gases provenientes da queima de carvão e petróleo que se dissolvem em água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na atmosfera.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… os ácidos que evaporam das águas libertadas pelas empresas.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… os gases de aparelho de ar condicionado e frigoríficos que escapam para a atmosfera.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… os gases de metano libertados pelos animais nas explorações pecuárias.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1.5. </w:t>
      </w:r>
      <w:r w:rsidRPr="003366B7">
        <w:rPr>
          <w:rFonts w:ascii="Arial" w:hAnsi="Arial" w:cs="Arial"/>
          <w:color w:val="000000"/>
        </w:rPr>
        <w:t>Os gases que estão na origem da formação de chuvas ácidas são…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… o oxigénio e o metano.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… o dióxido de enxofre e os óxidos nitrosos.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… o dióxido de carbono e o ozono.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… o vapor de água e o dióxido de carbono.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1.6. </w:t>
      </w:r>
      <w:r w:rsidRPr="003366B7">
        <w:rPr>
          <w:rFonts w:ascii="Arial" w:hAnsi="Arial" w:cs="Arial"/>
          <w:color w:val="000000"/>
        </w:rPr>
        <w:t>A destruição da camada de ozono deve-se, essencialmente…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… ao aumento da concentração dos gases com efeito de estufa.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… ao aumento da radiação UV vinda do Sol.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… à emissão de clorofluorocarbonetos para a atmosfera.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… ao aumento da temperatura nas regiões polares.</w:t>
      </w:r>
    </w:p>
    <w:p w:rsidR="003366B7" w:rsidRPr="003366B7" w:rsidRDefault="003366B7" w:rsidP="003366B7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1.7. </w:t>
      </w:r>
      <w:r w:rsidRPr="003366B7">
        <w:rPr>
          <w:rFonts w:ascii="Arial" w:hAnsi="Arial" w:cs="Arial"/>
          <w:color w:val="000000"/>
        </w:rPr>
        <w:t>A espécie mais sensível às variações de pH é a…</w:t>
      </w:r>
    </w:p>
    <w:p w:rsid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000000"/>
        </w:rPr>
        <w:sectPr w:rsidR="003366B7" w:rsidSect="003366B7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(A) </w:t>
      </w:r>
      <w:r w:rsidRPr="003366B7">
        <w:rPr>
          <w:rFonts w:ascii="Arial" w:hAnsi="Arial" w:cs="Arial"/>
          <w:color w:val="000000"/>
        </w:rPr>
        <w:t>Salvelinus fontinalus.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(B) </w:t>
      </w:r>
      <w:r w:rsidRPr="003366B7">
        <w:rPr>
          <w:rFonts w:ascii="Arial" w:hAnsi="Arial" w:cs="Arial"/>
          <w:color w:val="000000"/>
        </w:rPr>
        <w:t>Pimephalus promelas.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(C) </w:t>
      </w:r>
      <w:r w:rsidRPr="003366B7">
        <w:rPr>
          <w:rFonts w:ascii="Arial" w:hAnsi="Arial" w:cs="Arial"/>
          <w:color w:val="000000"/>
        </w:rPr>
        <w:t>Rana sylvatica.</w:t>
      </w:r>
    </w:p>
    <w:p w:rsid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 xml:space="preserve">(D) </w:t>
      </w:r>
      <w:r w:rsidRPr="003366B7">
        <w:rPr>
          <w:rFonts w:ascii="Arial" w:hAnsi="Arial" w:cs="Arial"/>
          <w:color w:val="000000"/>
        </w:rPr>
        <w:t>Bufo americanus.</w:t>
      </w:r>
    </w:p>
    <w:p w:rsid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  <w:sectPr w:rsidR="003366B7" w:rsidSect="003366B7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2. Explica de que modo o uso de energia proveniente de fontes de energia renováveis, em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detrimento da energia produzida em centrais termoelétricas, poderá diminuir o efeito das chuvas</w:t>
      </w:r>
    </w:p>
    <w:p w:rsidR="003366B7" w:rsidRDefault="003366B7" w:rsidP="003366B7">
      <w:pPr>
        <w:rPr>
          <w:rFonts w:ascii="Arial" w:hAnsi="Arial" w:cs="Arial"/>
          <w:b/>
          <w:bCs/>
          <w:color w:val="DA0000"/>
          <w:sz w:val="20"/>
          <w:szCs w:val="20"/>
        </w:rPr>
      </w:pPr>
      <w:r w:rsidRPr="003366B7">
        <w:rPr>
          <w:rFonts w:ascii="Arial" w:hAnsi="Arial" w:cs="Arial"/>
          <w:b/>
          <w:bCs/>
          <w:color w:val="DA0000"/>
          <w:sz w:val="20"/>
          <w:szCs w:val="20"/>
        </w:rPr>
        <w:t>ácidas nos ecossistemas</w:t>
      </w:r>
    </w:p>
    <w:p w:rsidR="003366B7" w:rsidRDefault="003366B7">
      <w:pPr>
        <w:rPr>
          <w:rFonts w:ascii="Arial" w:hAnsi="Arial" w:cs="Arial"/>
          <w:b/>
          <w:bCs/>
          <w:color w:val="DA0000"/>
          <w:sz w:val="20"/>
          <w:szCs w:val="20"/>
        </w:rPr>
      </w:pPr>
      <w:r>
        <w:rPr>
          <w:rFonts w:ascii="Arial" w:hAnsi="Arial" w:cs="Arial"/>
          <w:b/>
          <w:bCs/>
          <w:color w:val="DA0000"/>
          <w:sz w:val="20"/>
          <w:szCs w:val="20"/>
        </w:rPr>
        <w:br w:type="page"/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366B7">
        <w:rPr>
          <w:rFonts w:ascii="Arial" w:hAnsi="Arial" w:cs="Arial"/>
          <w:b/>
          <w:bCs/>
          <w:color w:val="000000"/>
          <w:sz w:val="24"/>
          <w:szCs w:val="24"/>
        </w:rPr>
        <w:t>Grupo III</w:t>
      </w:r>
    </w:p>
    <w:p w:rsidR="004B448C" w:rsidRDefault="004B448C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>Documento I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>Há cinco anos que existe um projeto de reabilitação ambiental da mina de Caveira, em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>Grândola. Poluentes resultantes da extração mineira estão a dispersar-se.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Localizada na Faixa Piritosa Ibérica, a cerca de 9 quilómetros do Lousal, em Grândola, atingiu o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seu auge com o boom da pirite como matéria-prima para a produção de ácido sulfúrico/adubos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fosfatados e para a produção de ferro, cobre, zinco e chumbo. Na escombreira, onde eram armazenados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os minérios extraídos, está o foco dos problemas ambientais deixados nesta área.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”As águas da chuva que escorrem aqui são tão ácidas que, se molhar as calças de ganga, elas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rasgam-se. São ácido sulfúrico”, conta Manuel Francisco Simões, o caseiro da herdade.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  <w:r w:rsidRPr="003366B7">
        <w:rPr>
          <w:rFonts w:ascii="Arial" w:hAnsi="Arial" w:cs="Arial"/>
          <w:color w:val="000000"/>
          <w:sz w:val="16"/>
          <w:szCs w:val="16"/>
        </w:rPr>
        <w:t>Diário de Notícias, 2012-02-19 (adaptado)</w:t>
      </w:r>
    </w:p>
    <w:p w:rsid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366B7">
        <w:rPr>
          <w:rFonts w:ascii="Arial" w:hAnsi="Arial" w:cs="Arial"/>
          <w:b/>
          <w:bCs/>
          <w:color w:val="000000"/>
        </w:rPr>
        <w:t>Documento II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Para estudar o impacte ambiental da mina de Caveira, foram recolhidas amostras de solos e de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urze-vermelha (Erica australis), uma planta representativa de todo o sistema em estudo, ao longo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de uma ribeira para onde confluem as águas de escorrência da escombreira da mina (R1 a R3). Foi</w:t>
      </w:r>
    </w:p>
    <w:p w:rsidR="003366B7" w:rsidRP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ainda recolhida uma amostra de referência, R0, na zona da ribeira a montante da mina e que não</w:t>
      </w:r>
    </w:p>
    <w:p w:rsidR="003366B7" w:rsidRPr="004B448C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366B7">
        <w:rPr>
          <w:rFonts w:ascii="Arial" w:hAnsi="Arial" w:cs="Arial"/>
          <w:color w:val="000000"/>
        </w:rPr>
        <w:t>a</w:t>
      </w:r>
      <w:r w:rsidRPr="004B448C">
        <w:rPr>
          <w:rFonts w:ascii="Arial" w:hAnsi="Arial" w:cs="Arial"/>
          <w:color w:val="000000"/>
        </w:rPr>
        <w:t>presentava influência direta da escombreira. Os resultados estão expressos em partes por milhão</w:t>
      </w:r>
    </w:p>
    <w:p w:rsidR="003366B7" w:rsidRPr="004B448C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(ppm).</w:t>
      </w:r>
    </w:p>
    <w:p w:rsidR="003366B7" w:rsidRDefault="003366B7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4B448C" w:rsidRPr="004B448C" w:rsidRDefault="004B448C" w:rsidP="003366B7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3366B7" w:rsidRPr="004B448C" w:rsidRDefault="003366B7" w:rsidP="003366B7">
      <w:pPr>
        <w:rPr>
          <w:rFonts w:ascii="Arial" w:hAnsi="Arial" w:cs="Arial"/>
          <w:color w:val="000000"/>
          <w:sz w:val="18"/>
          <w:szCs w:val="18"/>
        </w:rPr>
      </w:pPr>
      <w:r w:rsidRPr="004B448C">
        <w:rPr>
          <w:rFonts w:ascii="Arial" w:hAnsi="Arial" w:cs="Arial"/>
          <w:b/>
          <w:bCs/>
          <w:color w:val="DA0000"/>
          <w:sz w:val="18"/>
          <w:szCs w:val="18"/>
        </w:rPr>
        <w:t xml:space="preserve">Tabela I · </w:t>
      </w:r>
      <w:r w:rsidRPr="004B448C">
        <w:rPr>
          <w:rFonts w:ascii="Arial" w:hAnsi="Arial" w:cs="Arial"/>
          <w:color w:val="000000"/>
          <w:sz w:val="18"/>
          <w:szCs w:val="18"/>
        </w:rPr>
        <w:t>Valores de alguns metais nas amostras de solo recolhidas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12"/>
        <w:gridCol w:w="2012"/>
        <w:gridCol w:w="2013"/>
        <w:gridCol w:w="2013"/>
        <w:gridCol w:w="2013"/>
      </w:tblGrid>
      <w:tr w:rsidR="002F618E" w:rsidRPr="004B448C" w:rsidTr="002F618E"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Amostra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Cobre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Zinco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Chumbo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Ferro</w:t>
            </w:r>
          </w:p>
        </w:tc>
      </w:tr>
      <w:tr w:rsidR="002F618E" w:rsidRPr="004B448C" w:rsidTr="002F618E">
        <w:tc>
          <w:tcPr>
            <w:tcW w:w="2012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R0</w:t>
            </w:r>
          </w:p>
        </w:tc>
        <w:tc>
          <w:tcPr>
            <w:tcW w:w="2012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7,67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6,60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51,6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</w:tr>
      <w:tr w:rsidR="002F618E" w:rsidRPr="004B448C" w:rsidTr="002F618E">
        <w:tc>
          <w:tcPr>
            <w:tcW w:w="2012" w:type="dxa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R1</w:t>
            </w:r>
          </w:p>
        </w:tc>
        <w:tc>
          <w:tcPr>
            <w:tcW w:w="2012" w:type="dxa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91,9</w:t>
            </w:r>
          </w:p>
        </w:tc>
        <w:tc>
          <w:tcPr>
            <w:tcW w:w="2013" w:type="dxa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2013" w:type="dxa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2013" w:type="dxa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1532</w:t>
            </w:r>
          </w:p>
        </w:tc>
      </w:tr>
      <w:tr w:rsidR="002F618E" w:rsidRPr="004B448C" w:rsidTr="002F618E">
        <w:tc>
          <w:tcPr>
            <w:tcW w:w="2012" w:type="dxa"/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R2</w:t>
            </w:r>
          </w:p>
        </w:tc>
        <w:tc>
          <w:tcPr>
            <w:tcW w:w="2012" w:type="dxa"/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65,4</w:t>
            </w:r>
          </w:p>
        </w:tc>
        <w:tc>
          <w:tcPr>
            <w:tcW w:w="2013" w:type="dxa"/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23,4</w:t>
            </w:r>
          </w:p>
        </w:tc>
        <w:tc>
          <w:tcPr>
            <w:tcW w:w="2013" w:type="dxa"/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48,9</w:t>
            </w:r>
          </w:p>
        </w:tc>
        <w:tc>
          <w:tcPr>
            <w:tcW w:w="2013" w:type="dxa"/>
            <w:shd w:val="clear" w:color="auto" w:fill="E5B8B7" w:themeFill="accent2" w:themeFillTint="66"/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1517</w:t>
            </w:r>
          </w:p>
        </w:tc>
      </w:tr>
      <w:tr w:rsidR="002F618E" w:rsidRPr="004B448C" w:rsidTr="002F618E"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23,9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2,24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494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2F618E" w:rsidRPr="004B448C" w:rsidRDefault="002F618E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918</w:t>
            </w:r>
          </w:p>
        </w:tc>
      </w:tr>
    </w:tbl>
    <w:p w:rsidR="002F618E" w:rsidRDefault="002F618E" w:rsidP="003366B7">
      <w:pPr>
        <w:rPr>
          <w:rFonts w:ascii="Arial" w:hAnsi="Arial" w:cs="Arial"/>
          <w:b/>
          <w:bCs/>
          <w:color w:val="DA0000"/>
          <w:sz w:val="18"/>
          <w:szCs w:val="18"/>
        </w:rPr>
      </w:pPr>
    </w:p>
    <w:p w:rsidR="004B448C" w:rsidRPr="004B448C" w:rsidRDefault="004B448C" w:rsidP="003366B7">
      <w:pPr>
        <w:rPr>
          <w:rFonts w:ascii="Arial" w:hAnsi="Arial" w:cs="Arial"/>
          <w:b/>
          <w:bCs/>
          <w:color w:val="DA0000"/>
          <w:sz w:val="18"/>
          <w:szCs w:val="18"/>
        </w:rPr>
      </w:pPr>
    </w:p>
    <w:p w:rsidR="003366B7" w:rsidRPr="004B448C" w:rsidRDefault="002F618E" w:rsidP="003366B7">
      <w:pPr>
        <w:rPr>
          <w:rFonts w:ascii="Arial" w:hAnsi="Arial" w:cs="Arial"/>
          <w:color w:val="000000"/>
          <w:sz w:val="18"/>
          <w:szCs w:val="18"/>
        </w:rPr>
      </w:pPr>
      <w:r w:rsidRPr="004B448C">
        <w:rPr>
          <w:rFonts w:ascii="Arial" w:hAnsi="Arial" w:cs="Arial"/>
          <w:b/>
          <w:bCs/>
          <w:color w:val="DA0000"/>
          <w:sz w:val="18"/>
          <w:szCs w:val="18"/>
        </w:rPr>
        <w:t xml:space="preserve">Tabela II · </w:t>
      </w:r>
      <w:r w:rsidRPr="004B448C">
        <w:rPr>
          <w:rFonts w:ascii="Arial" w:hAnsi="Arial" w:cs="Arial"/>
          <w:color w:val="000000"/>
          <w:sz w:val="18"/>
          <w:szCs w:val="18"/>
        </w:rPr>
        <w:t>Teores de metais na planta urze-vermelha (Erica australis)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48"/>
        <w:gridCol w:w="1678"/>
        <w:gridCol w:w="1678"/>
        <w:gridCol w:w="1678"/>
        <w:gridCol w:w="1678"/>
        <w:gridCol w:w="1679"/>
      </w:tblGrid>
      <w:tr w:rsidR="004B448C" w:rsidRPr="004B448C" w:rsidTr="004B448C"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Amostra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Parte da planta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Cobre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Zinco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Chumbo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b/>
                <w:bCs/>
                <w:sz w:val="18"/>
                <w:szCs w:val="18"/>
              </w:rPr>
              <w:t>Ferro</w:t>
            </w:r>
          </w:p>
        </w:tc>
      </w:tr>
      <w:tr w:rsidR="004B448C" w:rsidRPr="004B448C" w:rsidTr="004B448C">
        <w:tc>
          <w:tcPr>
            <w:tcW w:w="174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R0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Aérea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6,29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9,94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249</w:t>
            </w:r>
          </w:p>
        </w:tc>
      </w:tr>
      <w:tr w:rsidR="004B448C" w:rsidRPr="004B448C" w:rsidTr="004B448C">
        <w:tc>
          <w:tcPr>
            <w:tcW w:w="1748" w:type="dxa"/>
            <w:vMerge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Raiz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2,96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9,57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81,6</w:t>
            </w:r>
          </w:p>
        </w:tc>
      </w:tr>
      <w:tr w:rsidR="004B448C" w:rsidRPr="004B448C" w:rsidTr="004B448C">
        <w:tc>
          <w:tcPr>
            <w:tcW w:w="1748" w:type="dxa"/>
            <w:vMerge w:val="restart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R1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Aérea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10,6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58,8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43,9</w:t>
            </w:r>
          </w:p>
        </w:tc>
        <w:tc>
          <w:tcPr>
            <w:tcW w:w="1679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482</w:t>
            </w:r>
          </w:p>
        </w:tc>
      </w:tr>
      <w:tr w:rsidR="004B448C" w:rsidRPr="004B448C" w:rsidTr="004B448C">
        <w:tc>
          <w:tcPr>
            <w:tcW w:w="1748" w:type="dxa"/>
            <w:vMerge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Raiz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8,58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25,1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46,3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351</w:t>
            </w:r>
          </w:p>
        </w:tc>
      </w:tr>
      <w:tr w:rsidR="004B448C" w:rsidRPr="004B448C" w:rsidTr="004B448C">
        <w:tc>
          <w:tcPr>
            <w:tcW w:w="1748" w:type="dxa"/>
            <w:vMerge w:val="restart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R2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Aérea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37,4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19,7</w:t>
            </w:r>
          </w:p>
        </w:tc>
        <w:tc>
          <w:tcPr>
            <w:tcW w:w="1679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708</w:t>
            </w:r>
          </w:p>
        </w:tc>
      </w:tr>
      <w:tr w:rsidR="004B448C" w:rsidRPr="004B448C" w:rsidTr="004B448C">
        <w:tc>
          <w:tcPr>
            <w:tcW w:w="1748" w:type="dxa"/>
            <w:vMerge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Raiz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8,30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16,9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9,94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</w:tr>
      <w:tr w:rsidR="004B448C" w:rsidRPr="004B448C" w:rsidTr="004B448C">
        <w:tc>
          <w:tcPr>
            <w:tcW w:w="1748" w:type="dxa"/>
            <w:vMerge w:val="restart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Aérea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11,2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24,0</w:t>
            </w:r>
          </w:p>
        </w:tc>
        <w:tc>
          <w:tcPr>
            <w:tcW w:w="1678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59,1</w:t>
            </w:r>
          </w:p>
        </w:tc>
        <w:tc>
          <w:tcPr>
            <w:tcW w:w="1679" w:type="dxa"/>
            <w:shd w:val="clear" w:color="auto" w:fill="E5B8B7" w:themeFill="accent2" w:themeFillTint="66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874</w:t>
            </w:r>
          </w:p>
        </w:tc>
      </w:tr>
      <w:tr w:rsidR="004B448C" w:rsidRPr="004B448C" w:rsidTr="004B448C">
        <w:tc>
          <w:tcPr>
            <w:tcW w:w="1748" w:type="dxa"/>
            <w:vMerge/>
            <w:tcBorders>
              <w:bottom w:val="single" w:sz="4" w:space="0" w:color="auto"/>
            </w:tcBorders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Raiz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3,21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5,47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9,71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448C" w:rsidRPr="004B448C" w:rsidRDefault="004B448C" w:rsidP="006F2CE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B448C">
              <w:rPr>
                <w:rFonts w:ascii="Arial" w:hAnsi="Arial" w:cs="Arial"/>
                <w:sz w:val="18"/>
                <w:szCs w:val="18"/>
              </w:rPr>
              <w:t>74,2</w:t>
            </w:r>
          </w:p>
        </w:tc>
      </w:tr>
    </w:tbl>
    <w:p w:rsidR="002F618E" w:rsidRDefault="004B448C" w:rsidP="004B448C">
      <w:pPr>
        <w:jc w:val="right"/>
        <w:rPr>
          <w:rFonts w:ascii="Arial" w:hAnsi="Arial" w:cs="Arial"/>
          <w:sz w:val="16"/>
          <w:szCs w:val="16"/>
        </w:rPr>
      </w:pPr>
      <w:r w:rsidRPr="004B448C">
        <w:rPr>
          <w:rFonts w:ascii="Arial" w:hAnsi="Arial" w:cs="Arial"/>
          <w:sz w:val="16"/>
          <w:szCs w:val="16"/>
        </w:rPr>
        <w:t>Santinhos (2010), Contributo para a caracterização biogeoquímica da mina de Caveira – estudo da planta Erica australis (adaptado)</w:t>
      </w:r>
    </w:p>
    <w:p w:rsidR="004B448C" w:rsidRDefault="004B448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4B448C">
        <w:rPr>
          <w:rFonts w:ascii="Arial" w:hAnsi="Arial" w:cs="Arial"/>
          <w:color w:val="DA0000"/>
          <w:sz w:val="20"/>
          <w:szCs w:val="20"/>
        </w:rPr>
        <w:t>1. Na resposta a cada um dos itens de 1. a 6., seleciona a única opção que permite obter uma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  <w:r w:rsidRPr="004B448C">
        <w:rPr>
          <w:rFonts w:ascii="Arial" w:hAnsi="Arial" w:cs="Arial"/>
          <w:color w:val="DA0000"/>
          <w:sz w:val="20"/>
          <w:szCs w:val="20"/>
        </w:rPr>
        <w:t>afirmação correta.</w:t>
      </w:r>
    </w:p>
    <w:p w:rsidR="004B448C" w:rsidRP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1.1. A pirite é considerada um recurso mineral…</w:t>
      </w:r>
    </w:p>
    <w:p w:rsid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  <w:sectPr w:rsidR="004B448C" w:rsidSect="003366B7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(A) … metálico e renovável.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(B) … metálico e não renovável.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(C) … não metálico e renovável.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(D) … não metálico e não renovável.</w:t>
      </w:r>
    </w:p>
    <w:p w:rsid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  <w:sectPr w:rsidR="004B448C" w:rsidSect="004B448C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4B448C" w:rsidRP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1.2. O local de Caveira, no qual os minerais existem em quantidades suficientes para poderem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ser explorados de forma rentável pelo ser humano, é designado por…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(A) … escombreira, sendo a pirite explorada para a obtenção de ferro.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(B) … escombreira, sendo o ferro explorado para a obtenção de pirite.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(C) … jazida mineral, sendo a pirite explorada para a obtenção de ferro.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(D) … jazida mineral, sendo o ferro explorado para a obtenção de pirite.</w:t>
      </w:r>
    </w:p>
    <w:p w:rsidR="004B448C" w:rsidRP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1.3. O elemento que existe em maior quantidade na amostra recolhidas no solo em R1 é o…</w:t>
      </w:r>
    </w:p>
    <w:p w:rsid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  <w:sectPr w:rsidR="004B448C" w:rsidSect="003366B7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(A) … cobre.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(B) … zinco.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(C) … chumbo.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(D) … ferro.</w:t>
      </w:r>
    </w:p>
    <w:p w:rsid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  <w:sectPr w:rsidR="004B448C" w:rsidSect="004B448C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4B448C" w:rsidRP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1.4. As plantas de urze-vermelha recolhidas em R2 apresentam uma concentração total de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cobre de…</w:t>
      </w:r>
    </w:p>
    <w:p w:rsid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  <w:sectPr w:rsidR="004B448C" w:rsidSect="003366B7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(A) … 8,30 ppm.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(B) … 21,0 ppm.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(C) … 29,30 ppm.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(D) … 65,4 ppm.</w:t>
      </w:r>
    </w:p>
    <w:p w:rsid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  <w:sectPr w:rsidR="004B448C" w:rsidSect="004B448C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4B448C" w:rsidRP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1.5. De acordo com os dados, podemos concluir que as águas de escorrência da escombreira…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(A) … apresentam a mesma composição química da água da ribeira.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(B) … impedem o desenvolvimento da urze-vermelha devido à elevada concentração de metais.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(C) … apresentam uma elevada concentração de metais que contaminam a água da ribeira.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(D) … não interferem na composição química da ribeira.</w:t>
      </w:r>
    </w:p>
    <w:p w:rsidR="004B448C" w:rsidRP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1.6. A acumulação de metais na urze-vermelha ocorre, maioritariamente, na…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(A) … parte aérea, uma vez que a sua absorção ocorre ao nível das folhas.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(B) … parte aérea, porque os metais absorvidos pela raiz são transportados para as folhas.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(C) … raiz, porque está mais perto do solo.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(D) … raiz, porque os metais absorvidos pelas folhas são transportados para as raízes.</w:t>
      </w:r>
    </w:p>
    <w:p w:rsidR="004B448C" w:rsidRPr="004B448C" w:rsidRDefault="004B448C" w:rsidP="004B448C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1.7. Na mina do Lousal, situada perto do mina de Caveira, o tratamento das águas de escorrência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de terrenos contaminados na área mineira do Lousal levou à implantação de 17 lagoas de tratamento</w:t>
      </w:r>
      <w:r>
        <w:rPr>
          <w:rFonts w:ascii="Arial" w:hAnsi="Arial" w:cs="Arial"/>
          <w:color w:val="000000"/>
        </w:rPr>
        <w:t xml:space="preserve"> </w:t>
      </w:r>
      <w:r w:rsidRPr="004B448C">
        <w:rPr>
          <w:rFonts w:ascii="Arial" w:hAnsi="Arial" w:cs="Arial"/>
          <w:color w:val="000000"/>
        </w:rPr>
        <w:t>com plantas. Foi usado o junco-solto ( Juncus effusus), que é uma planta bem adaptada</w:t>
      </w:r>
      <w:r>
        <w:rPr>
          <w:rFonts w:ascii="Arial" w:hAnsi="Arial" w:cs="Arial"/>
          <w:color w:val="000000"/>
        </w:rPr>
        <w:t xml:space="preserve"> </w:t>
      </w:r>
      <w:r w:rsidRPr="004B448C">
        <w:rPr>
          <w:rFonts w:ascii="Arial" w:hAnsi="Arial" w:cs="Arial"/>
          <w:color w:val="000000"/>
        </w:rPr>
        <w:t>a estes ambientes, acumulando e tolerando metais por processos de bioacumulação.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O junco-solto é usado nas lagoas de tratamento porque…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(A) … consegue sobreviver nestes ambientes, tornando-os mais verdes.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(B) … é tolerante às elevadas concentrações de metais e não altera a composição química da água.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(C) … ao incorporar metais nos seus tecidos, diminui a concentração de metais na água e no solo.</w:t>
      </w:r>
    </w:p>
    <w:p w:rsidR="004B448C" w:rsidRPr="004B448C" w:rsidRDefault="004B448C" w:rsidP="004B448C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4B448C">
        <w:rPr>
          <w:rFonts w:ascii="Arial" w:hAnsi="Arial" w:cs="Arial"/>
          <w:color w:val="000000"/>
        </w:rPr>
        <w:t>(D) … incorpora metais nos seus tecidos, sendo usado para a obtenção de minério de ferro.</w:t>
      </w:r>
    </w:p>
    <w:p w:rsidR="004B448C" w:rsidRDefault="004B448C" w:rsidP="004B448C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</w:p>
    <w:p w:rsidR="004B448C" w:rsidRDefault="004B448C" w:rsidP="004B448C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20"/>
          <w:szCs w:val="20"/>
        </w:rPr>
      </w:pPr>
    </w:p>
    <w:p w:rsidR="004B448C" w:rsidRPr="004B448C" w:rsidRDefault="004B448C" w:rsidP="004B448C">
      <w:pPr>
        <w:autoSpaceDE w:val="0"/>
        <w:autoSpaceDN w:val="0"/>
        <w:adjustRightInd w:val="0"/>
        <w:spacing w:after="0"/>
        <w:rPr>
          <w:rFonts w:ascii="Arial" w:hAnsi="Arial" w:cs="Arial"/>
          <w:szCs w:val="21"/>
        </w:rPr>
      </w:pPr>
      <w:r w:rsidRPr="004B448C">
        <w:rPr>
          <w:rFonts w:ascii="Arial" w:hAnsi="Arial" w:cs="Arial"/>
          <w:color w:val="DA0000"/>
          <w:sz w:val="20"/>
          <w:szCs w:val="20"/>
        </w:rPr>
        <w:t>2. Explica porque é que as escombreiras de áreas mineiras abandonadas representam um perigo</w:t>
      </w:r>
      <w:r>
        <w:rPr>
          <w:rFonts w:ascii="Arial" w:hAnsi="Arial" w:cs="Arial"/>
          <w:color w:val="DA0000"/>
          <w:sz w:val="20"/>
          <w:szCs w:val="20"/>
        </w:rPr>
        <w:t xml:space="preserve"> </w:t>
      </w:r>
      <w:r w:rsidRPr="004B448C">
        <w:rPr>
          <w:rFonts w:ascii="Arial" w:hAnsi="Arial" w:cs="Arial"/>
          <w:color w:val="DA0000"/>
          <w:sz w:val="20"/>
          <w:szCs w:val="20"/>
        </w:rPr>
        <w:t>ambiental para os ecossistemas.</w:t>
      </w:r>
    </w:p>
    <w:sectPr w:rsidR="004B448C" w:rsidRPr="004B448C" w:rsidSect="003366B7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savePreviewPicture/>
  <w:compat/>
  <w:rsids>
    <w:rsidRoot w:val="00616B4B"/>
    <w:rsid w:val="000603E5"/>
    <w:rsid w:val="0006265E"/>
    <w:rsid w:val="000F0F2B"/>
    <w:rsid w:val="00106678"/>
    <w:rsid w:val="00121026"/>
    <w:rsid w:val="00186B08"/>
    <w:rsid w:val="00197BCF"/>
    <w:rsid w:val="001E563A"/>
    <w:rsid w:val="00226C8E"/>
    <w:rsid w:val="00231D5A"/>
    <w:rsid w:val="002373A3"/>
    <w:rsid w:val="00287B49"/>
    <w:rsid w:val="00292595"/>
    <w:rsid w:val="002E3080"/>
    <w:rsid w:val="002E4063"/>
    <w:rsid w:val="002F618E"/>
    <w:rsid w:val="00325A65"/>
    <w:rsid w:val="00335DD3"/>
    <w:rsid w:val="003366B7"/>
    <w:rsid w:val="00381AA9"/>
    <w:rsid w:val="00394E8F"/>
    <w:rsid w:val="003B0B42"/>
    <w:rsid w:val="003C6CD5"/>
    <w:rsid w:val="003F4E42"/>
    <w:rsid w:val="003F7E2C"/>
    <w:rsid w:val="00411249"/>
    <w:rsid w:val="0046421C"/>
    <w:rsid w:val="004B197E"/>
    <w:rsid w:val="004B448C"/>
    <w:rsid w:val="004D44A6"/>
    <w:rsid w:val="005C218C"/>
    <w:rsid w:val="005D3514"/>
    <w:rsid w:val="006155E9"/>
    <w:rsid w:val="00616B4B"/>
    <w:rsid w:val="00685853"/>
    <w:rsid w:val="006956CE"/>
    <w:rsid w:val="006D5335"/>
    <w:rsid w:val="006F2CE2"/>
    <w:rsid w:val="006F4F9C"/>
    <w:rsid w:val="00706292"/>
    <w:rsid w:val="00717EA0"/>
    <w:rsid w:val="007862A8"/>
    <w:rsid w:val="007D381C"/>
    <w:rsid w:val="007D4DC4"/>
    <w:rsid w:val="007F3E71"/>
    <w:rsid w:val="0080425C"/>
    <w:rsid w:val="008206CA"/>
    <w:rsid w:val="008210D4"/>
    <w:rsid w:val="00874331"/>
    <w:rsid w:val="0087575E"/>
    <w:rsid w:val="008C0202"/>
    <w:rsid w:val="00931CEA"/>
    <w:rsid w:val="00962360"/>
    <w:rsid w:val="009A3F3E"/>
    <w:rsid w:val="00A02090"/>
    <w:rsid w:val="00A031E7"/>
    <w:rsid w:val="00A43221"/>
    <w:rsid w:val="00A439E2"/>
    <w:rsid w:val="00A534DF"/>
    <w:rsid w:val="00A746FE"/>
    <w:rsid w:val="00A86AE6"/>
    <w:rsid w:val="00AD1223"/>
    <w:rsid w:val="00B0219A"/>
    <w:rsid w:val="00B70CD3"/>
    <w:rsid w:val="00BD7317"/>
    <w:rsid w:val="00BE7B9C"/>
    <w:rsid w:val="00C032D4"/>
    <w:rsid w:val="00C078DC"/>
    <w:rsid w:val="00C47CC8"/>
    <w:rsid w:val="00CB03C2"/>
    <w:rsid w:val="00CC2550"/>
    <w:rsid w:val="00CC6369"/>
    <w:rsid w:val="00CE168F"/>
    <w:rsid w:val="00CE7E1E"/>
    <w:rsid w:val="00D14502"/>
    <w:rsid w:val="00D50DB0"/>
    <w:rsid w:val="00D6434A"/>
    <w:rsid w:val="00D73ECA"/>
    <w:rsid w:val="00D83A47"/>
    <w:rsid w:val="00D950D7"/>
    <w:rsid w:val="00E455FF"/>
    <w:rsid w:val="00EA18C6"/>
    <w:rsid w:val="00EA6207"/>
    <w:rsid w:val="00ED257D"/>
    <w:rsid w:val="00EE012F"/>
    <w:rsid w:val="00EF5FF5"/>
    <w:rsid w:val="00F0133F"/>
    <w:rsid w:val="00F44FCD"/>
    <w:rsid w:val="00F61858"/>
    <w:rsid w:val="00F70AD1"/>
    <w:rsid w:val="00F7622B"/>
    <w:rsid w:val="00FA14A5"/>
    <w:rsid w:val="00FE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2060</Words>
  <Characters>11130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2014-06-30T22:34:00Z</dcterms:created>
  <dcterms:modified xsi:type="dcterms:W3CDTF">2014-06-30T23:00:00Z</dcterms:modified>
</cp:coreProperties>
</file>