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86" w:rsidRDefault="008E5639" w:rsidP="00C5788B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4.35pt;height:71.75pt;z-index:251702272" o:regroupid="2" fillcolor="#c90" stroked="f"/>
        </w:pict>
      </w:r>
    </w:p>
    <w:p w:rsidR="00B168A7" w:rsidRPr="00CF1509" w:rsidRDefault="00C5788B" w:rsidP="00CF1509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CC9900"/>
          <w:sz w:val="56"/>
          <w:szCs w:val="56"/>
        </w:rPr>
        <w:pict>
          <v:group id="_x0000_s1176" style="position:absolute;left:0;text-align:left;margin-left:-.75pt;margin-top:31.1pt;width:469.7pt;height:18.75pt;z-index:251714560" coordorigin="836,1777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74" type="#_x0000_t32" style="position:absolute;left:836;top:1777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75" type="#_x0000_t202" style="position:absolute;left:6900;top:1777;width:3330;height:375" o:regroupid="3" fillcolor="#c90" strokecolor="#c90">
              <v:textbox style="mso-next-textbox:#_x0000_s1175">
                <w:txbxContent>
                  <w:p w:rsidR="00C5788B" w:rsidRPr="00790A6D" w:rsidRDefault="00C5788B" w:rsidP="00C5788B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146 e 147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CF1509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6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F1509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  </w:t>
      </w:r>
      <w:r w:rsidR="00CF1509" w:rsidRPr="00CF1509">
        <w:rPr>
          <w:rFonts w:asciiTheme="minorHAnsi" w:hAnsiTheme="minorHAnsi" w:cs="VAGRoundedStd-Bold"/>
          <w:b/>
          <w:bCs/>
          <w:sz w:val="22"/>
          <w:szCs w:val="22"/>
        </w:rPr>
        <w:t xml:space="preserve">Desenvolvo a compreensão da </w:t>
      </w:r>
      <w:proofErr w:type="spellStart"/>
      <w:r w:rsidR="00CF1509" w:rsidRPr="00CF1509">
        <w:rPr>
          <w:rFonts w:asciiTheme="minorHAnsi" w:hAnsiTheme="minorHAnsi" w:cs="VAGRoundedStd-Bold"/>
          <w:b/>
          <w:bCs/>
          <w:sz w:val="22"/>
          <w:szCs w:val="22"/>
        </w:rPr>
        <w:t>multicausalidade</w:t>
      </w:r>
      <w:proofErr w:type="spellEnd"/>
      <w:r w:rsidR="00CF1509" w:rsidRPr="00CF1509">
        <w:rPr>
          <w:rFonts w:asciiTheme="minorHAnsi" w:hAnsiTheme="minorHAnsi" w:cs="VAGRoundedStd-Bold"/>
          <w:b/>
          <w:bCs/>
          <w:sz w:val="22"/>
          <w:szCs w:val="22"/>
        </w:rPr>
        <w:t xml:space="preserve"> em História</w:t>
      </w:r>
    </w:p>
    <w:p w:rsidR="00757E02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2"/>
        </w:rPr>
      </w:pPr>
    </w:p>
    <w:p w:rsidR="00C5788B" w:rsidRPr="00190C6A" w:rsidRDefault="00C5788B" w:rsidP="00C5788B">
      <w:pPr>
        <w:spacing w:before="0"/>
        <w:rPr>
          <w:rFonts w:asciiTheme="minorHAnsi" w:hAnsiTheme="minorHAnsi" w:cs="VAGRoundedStd-Bold"/>
          <w:b/>
          <w:bCs/>
          <w:color w:val="A6A68D"/>
          <w:sz w:val="18"/>
        </w:rPr>
      </w:pPr>
    </w:p>
    <w:p w:rsidR="00C5788B" w:rsidRDefault="00C5788B" w:rsidP="00C5788B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C5788B" w:rsidRDefault="00C5788B" w:rsidP="00C5788B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C5788B" w:rsidRPr="00C5788B" w:rsidRDefault="00C5788B" w:rsidP="00491DF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2"/>
          <w:szCs w:val="28"/>
        </w:rPr>
      </w:pPr>
    </w:p>
    <w:p w:rsidR="00491DF7" w:rsidRPr="00491DF7" w:rsidRDefault="00491DF7" w:rsidP="00491DF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491DF7">
        <w:rPr>
          <w:rFonts w:asciiTheme="minorHAnsi" w:hAnsiTheme="minorHAnsi" w:cs="VAGRoundedStd-Bold"/>
          <w:b/>
          <w:bCs/>
          <w:color w:val="CC9900"/>
          <w:sz w:val="28"/>
          <w:szCs w:val="28"/>
        </w:rPr>
        <w:t>TERCEIRO ESTADO EM FÚRIA</w:t>
      </w:r>
    </w:p>
    <w:p w:rsidR="00757F2A" w:rsidRPr="00491DF7" w:rsidRDefault="00491DF7" w:rsidP="00491DF7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491DF7">
        <w:rPr>
          <w:rFonts w:asciiTheme="minorHAnsi" w:hAnsiTheme="minorHAnsi" w:cs="MyriadPro-Bold"/>
          <w:b/>
          <w:bCs/>
          <w:color w:val="CC9900"/>
          <w:sz w:val="28"/>
          <w:szCs w:val="28"/>
        </w:rPr>
        <w:t>Por que razões o Terceiro Estado se revoltou em França?</w:t>
      </w:r>
    </w:p>
    <w:p w:rsidR="00491DF7" w:rsidRPr="00C5788B" w:rsidRDefault="00491DF7" w:rsidP="00491DF7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color w:val="CC9900"/>
          <w:szCs w:val="24"/>
        </w:rPr>
      </w:pPr>
    </w:p>
    <w:p w:rsidR="00491DF7" w:rsidRPr="00491DF7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91DF7">
        <w:rPr>
          <w:rFonts w:asciiTheme="minorHAnsi" w:hAnsiTheme="minorHAnsi" w:cs="MyriadPro-Regular"/>
          <w:color w:val="000000"/>
          <w:sz w:val="24"/>
          <w:szCs w:val="24"/>
        </w:rPr>
        <w:t>Em 1789, o Terceiro Estado revoltou-se contra a monarquia absoluta em França.</w:t>
      </w:r>
    </w:p>
    <w:p w:rsidR="00491DF7" w:rsidRPr="00491DF7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91DF7">
        <w:rPr>
          <w:rFonts w:asciiTheme="minorHAnsi" w:hAnsiTheme="minorHAnsi" w:cs="MyriadPro-Regular"/>
          <w:color w:val="000000"/>
          <w:sz w:val="24"/>
          <w:szCs w:val="24"/>
        </w:rPr>
        <w:t>O descontentamento do Terceiro Estado já vinha de há muitos anos por razões gerais</w:t>
      </w:r>
    </w:p>
    <w:p w:rsidR="00491DF7" w:rsidRPr="00491DF7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491DF7">
        <w:rPr>
          <w:rFonts w:asciiTheme="minorHAnsi" w:hAnsiTheme="minorHAnsi" w:cs="MyriadPro-Regular"/>
          <w:color w:val="000000"/>
          <w:sz w:val="24"/>
          <w:szCs w:val="24"/>
        </w:rPr>
        <w:t>que</w:t>
      </w:r>
      <w:proofErr w:type="gramEnd"/>
      <w:r w:rsidRPr="00491DF7">
        <w:rPr>
          <w:rFonts w:asciiTheme="minorHAnsi" w:hAnsiTheme="minorHAnsi" w:cs="MyriadPro-Regular"/>
          <w:color w:val="000000"/>
          <w:sz w:val="24"/>
          <w:szCs w:val="24"/>
        </w:rPr>
        <w:t xml:space="preserve"> afetavam esta ordem social. Contudo, razões específicas fizeram despoletar a revolta</w:t>
      </w:r>
    </w:p>
    <w:p w:rsidR="00491DF7" w:rsidRPr="00491DF7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491DF7">
        <w:rPr>
          <w:rFonts w:asciiTheme="minorHAnsi" w:hAnsiTheme="minorHAnsi" w:cs="MyriadPro-Regular"/>
          <w:color w:val="000000"/>
          <w:sz w:val="24"/>
          <w:szCs w:val="24"/>
        </w:rPr>
        <w:t>primeiro</w:t>
      </w:r>
      <w:proofErr w:type="gramEnd"/>
      <w:r w:rsidRPr="00491DF7">
        <w:rPr>
          <w:rFonts w:asciiTheme="minorHAnsi" w:hAnsiTheme="minorHAnsi" w:cs="MyriadPro-Regular"/>
          <w:color w:val="000000"/>
          <w:sz w:val="24"/>
          <w:szCs w:val="24"/>
        </w:rPr>
        <w:t xml:space="preserve"> e a revolução depois.</w:t>
      </w:r>
    </w:p>
    <w:p w:rsidR="00491DF7" w:rsidRPr="00C5788B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4"/>
        </w:rPr>
      </w:pPr>
    </w:p>
    <w:p w:rsidR="00491DF7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91DF7">
        <w:rPr>
          <w:rFonts w:asciiTheme="minorHAnsi" w:hAnsiTheme="minorHAnsi" w:cs="MyriadPro-Regular"/>
          <w:color w:val="000000"/>
          <w:sz w:val="24"/>
          <w:szCs w:val="24"/>
        </w:rPr>
        <w:t>O teu desafio é distinguir e organizar estas causas!</w:t>
      </w:r>
    </w:p>
    <w:p w:rsidR="00491DF7" w:rsidRPr="00C5788B" w:rsidRDefault="00491DF7" w:rsidP="00491DF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4"/>
        </w:rPr>
      </w:pPr>
    </w:p>
    <w:p w:rsidR="00491DF7" w:rsidRDefault="00C5788B" w:rsidP="00491DF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8E5639">
        <w:rPr>
          <w:noProof/>
        </w:rPr>
        <w:pict>
          <v:shape id="_x0000_s1168" type="#_x0000_t202" style="position:absolute;margin-left:-.75pt;margin-top:18.8pt;width:510.2pt;height:236.35pt;z-index:251705344;mso-wrap-style:none" fillcolor="#fde9d9 [665]" stroked="f">
            <v:textbox style="mso-fit-shape-to-text:t">
              <w:txbxContent>
                <w:p w:rsidR="00491DF7" w:rsidRPr="00491DF7" w:rsidRDefault="00491DF7" w:rsidP="00491DF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AGRoundedStd-Bold"/>
                      <w:b/>
                      <w:bCs/>
                      <w:color w:val="004366"/>
                      <w:sz w:val="24"/>
                      <w:szCs w:val="24"/>
                    </w:rPr>
                  </w:pPr>
                  <w:r w:rsidRPr="00491DF7">
                    <w:rPr>
                      <w:rFonts w:asciiTheme="minorHAnsi" w:hAnsiTheme="minorHAnsi" w:cs="VAGRoundedStd-Bold"/>
                      <w:b/>
                      <w:bCs/>
                      <w:color w:val="004366"/>
                      <w:sz w:val="24"/>
                      <w:szCs w:val="24"/>
                    </w:rPr>
                    <w:t>A – Antecedentes da Revolução</w:t>
                  </w:r>
                </w:p>
                <w:p w:rsidR="00491DF7" w:rsidRPr="00491DF7" w:rsidRDefault="00491DF7" w:rsidP="00491DF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4"/>
                    </w:rPr>
                  </w:pPr>
                  <w:r w:rsidRPr="00491DF7">
                    <w:rPr>
                      <w:rFonts w:asciiTheme="minorHAnsi" w:hAnsiTheme="minorHAnsi" w:cs="VectoraLTStd-Light"/>
                      <w:color w:val="000000"/>
                      <w:sz w:val="22"/>
                      <w:szCs w:val="24"/>
                    </w:rPr>
                    <w:t xml:space="preserve">Os acontecimentos de 1789 inscrevem-se num movimento mais vasto. […] Entre 1776 e 1783, o movimento mais importante que precedeu a Revolução Francesa foi a Revolução Americana. […] Esta exercerá uma influência considerável na Europa. Desperta simpatias na Grã-Bretanha mesmo durante a guerra e na Câmara dos Comuns elevam-se vozes a favor dos insurretos […]. Em França oferecem-se voluntários e La </w:t>
                  </w:r>
                  <w:proofErr w:type="spellStart"/>
                  <w:r w:rsidRPr="00491DF7">
                    <w:rPr>
                      <w:rFonts w:asciiTheme="minorHAnsi" w:hAnsiTheme="minorHAnsi" w:cs="VectoraLTStd-Light"/>
                      <w:color w:val="000000"/>
                      <w:sz w:val="22"/>
                      <w:szCs w:val="24"/>
                    </w:rPr>
                    <w:t>Fayette</w:t>
                  </w:r>
                  <w:proofErr w:type="spellEnd"/>
                  <w:r w:rsidRPr="00491DF7">
                    <w:rPr>
                      <w:rFonts w:asciiTheme="minorHAnsi" w:hAnsiTheme="minorHAnsi" w:cs="VectoraLTStd-Light"/>
                      <w:color w:val="000000"/>
                      <w:sz w:val="22"/>
                      <w:szCs w:val="24"/>
                    </w:rPr>
                    <w:t>, que desempenhará um papel de primeiro plano nos começos da Revolução Francesa, deve o seu prestígio ao facto de ter combatido ao lado dos Americanos pela liberdade. […]</w:t>
                  </w:r>
                </w:p>
                <w:p w:rsidR="00491DF7" w:rsidRPr="00491DF7" w:rsidRDefault="00491DF7" w:rsidP="00491DF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4"/>
                    </w:rPr>
                  </w:pPr>
                  <w:r w:rsidRPr="00491DF7">
                    <w:rPr>
                      <w:rFonts w:asciiTheme="minorHAnsi" w:hAnsiTheme="minorHAnsi" w:cs="VectoraLTStd-Light"/>
                      <w:color w:val="000000"/>
                      <w:sz w:val="22"/>
                      <w:szCs w:val="24"/>
                    </w:rPr>
                    <w:t>Outros movimentos na Europa, mais perto da França, ocorrem nos anos que precedem 1789. A Grã-Bretanha é, nos anos de 1780, palco de uma agitação ao mesmo tempo social e política – tumultos operários com a destruição de máquinas, revoltas de camponeses e efervescência política, de inspiração radical –, que reclama o alargamento do corpo eleitoral e a redução da duração da legislatura. Estas reivindicações prenunciam as reformas do século XIX. A Irlanda também se agita contra o domínio britânico. […] Assim, entre 1780 e meados do século XIX, durante cerca de setenta anos, o mundo é abalado, em intervalos curtos, por vagas de revoluções que fazem um vasto cortejo à Revolução Francesa e permitem falar de uma era de revoluções.</w:t>
                  </w:r>
                </w:p>
                <w:p w:rsidR="00491DF7" w:rsidRPr="004A4F91" w:rsidRDefault="00491DF7" w:rsidP="004A4F91">
                  <w:pPr>
                    <w:jc w:val="right"/>
                    <w:rPr>
                      <w:rFonts w:cs="VectoraLTStd-Light"/>
                      <w:color w:val="000000"/>
                      <w:sz w:val="18"/>
                      <w:szCs w:val="24"/>
                    </w:rPr>
                  </w:pPr>
                  <w:r w:rsidRPr="00491DF7">
                    <w:rPr>
                      <w:rFonts w:asciiTheme="minorHAnsi" w:hAnsiTheme="minorHAnsi" w:cs="VectoraLTStd-Light"/>
                      <w:color w:val="000000"/>
                      <w:sz w:val="18"/>
                      <w:szCs w:val="24"/>
                    </w:rPr>
                    <w:t xml:space="preserve">René </w:t>
                  </w:r>
                  <w:proofErr w:type="spellStart"/>
                  <w:r w:rsidRPr="00491DF7">
                    <w:rPr>
                      <w:rFonts w:asciiTheme="minorHAnsi" w:hAnsiTheme="minorHAnsi" w:cs="VectoraLTStd-Light"/>
                      <w:color w:val="000000"/>
                      <w:sz w:val="18"/>
                      <w:szCs w:val="24"/>
                    </w:rPr>
                    <w:t>Rémond</w:t>
                  </w:r>
                  <w:proofErr w:type="spellEnd"/>
                  <w:r w:rsidRPr="00491DF7">
                    <w:rPr>
                      <w:rFonts w:asciiTheme="minorHAnsi" w:hAnsiTheme="minorHAnsi" w:cs="VectoraLTStd-Light"/>
                      <w:color w:val="000000"/>
                      <w:sz w:val="18"/>
                      <w:szCs w:val="24"/>
                    </w:rPr>
                    <w:t xml:space="preserve">, </w:t>
                  </w:r>
                  <w:r w:rsidRPr="00491DF7">
                    <w:rPr>
                      <w:rFonts w:asciiTheme="minorHAnsi" w:hAnsiTheme="minorHAnsi" w:cs="VectoraLTStd-LightItalic"/>
                      <w:i/>
                      <w:iCs/>
                      <w:color w:val="000000"/>
                      <w:sz w:val="18"/>
                      <w:szCs w:val="24"/>
                    </w:rPr>
                    <w:t>Introdução à História do Nosso Tempo</w:t>
                  </w:r>
                  <w:r w:rsidRPr="00491DF7">
                    <w:rPr>
                      <w:rFonts w:asciiTheme="minorHAnsi" w:hAnsiTheme="minorHAnsi" w:cs="VectoraLTStd-Light"/>
                      <w:color w:val="000000"/>
                      <w:sz w:val="18"/>
                      <w:szCs w:val="24"/>
                    </w:rPr>
                    <w:t>, Gradiva, 1994</w:t>
                  </w:r>
                </w:p>
              </w:txbxContent>
            </v:textbox>
            <w10:wrap type="square"/>
          </v:shape>
        </w:pict>
      </w:r>
      <w:r w:rsidR="00491DF7" w:rsidRPr="00491DF7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1</w:t>
      </w:r>
      <w:r w:rsidR="00491DF7" w:rsidRPr="00491DF7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="00491DF7" w:rsidRPr="00491DF7">
        <w:rPr>
          <w:rFonts w:asciiTheme="minorHAnsi" w:hAnsiTheme="minorHAnsi" w:cs="MyriadPro-Semibold"/>
          <w:color w:val="000000"/>
          <w:sz w:val="24"/>
          <w:szCs w:val="24"/>
        </w:rPr>
        <w:t>Analisa as fontes e completa a tabela.</w:t>
      </w:r>
    </w:p>
    <w:p w:rsidR="00757F2A" w:rsidRPr="00525DB5" w:rsidRDefault="00491DF7" w:rsidP="00491DF7">
      <w:pPr>
        <w:widowControl/>
        <w:spacing w:before="0" w:line="276" w:lineRule="auto"/>
        <w:jc w:val="center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drawing>
          <wp:inline distT="0" distB="0" distL="0" distR="0">
            <wp:extent cx="4943475" cy="2809975"/>
            <wp:effectExtent l="19050" t="0" r="9525" b="0"/>
            <wp:docPr id="1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8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7F2A" w:rsidRPr="00525DB5">
        <w:rPr>
          <w:rFonts w:asciiTheme="minorHAnsi" w:hAnsiTheme="minorHAnsi" w:cs="MyriadPro-Regular"/>
          <w:color w:val="CC9900"/>
          <w:sz w:val="24"/>
          <w:szCs w:val="24"/>
        </w:rPr>
        <w:br w:type="page"/>
      </w:r>
    </w:p>
    <w:p w:rsidR="00757F2A" w:rsidRDefault="008E5639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  <w:r w:rsidRPr="008E5639"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3.1pt;margin-top:-60.15pt;width:92.55pt;height:86.05pt;z-index:251703296" fillcolor="#c90" stroked="f"/>
        </w:pic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F14D12" w:rsidRPr="00112208" w:rsidRDefault="008E5639" w:rsidP="00112208">
      <w:pPr>
        <w:widowControl/>
        <w:spacing w:before="0" w:line="276" w:lineRule="auto"/>
        <w:ind w:left="227"/>
        <w:jc w:val="center"/>
        <w:rPr>
          <w:rFonts w:asciiTheme="minorHAnsi" w:hAnsiTheme="minorHAnsi" w:cs="MyriadPro-Regular"/>
          <w:sz w:val="24"/>
          <w:szCs w:val="24"/>
        </w:rPr>
      </w:pPr>
      <w:r w:rsidRPr="008E5639">
        <w:rPr>
          <w:noProof/>
        </w:rPr>
        <w:pict>
          <v:group id="_x0000_s1171" style="position:absolute;left:0;text-align:left;margin-left:0;margin-top:16.85pt;width:537.95pt;height:202.35pt;z-index:251710464" coordorigin="851,1862" coordsize="10759,4047">
            <v:shape id="_x0000_s1169" type="#_x0000_t202" style="position:absolute;left:851;top:1862;width:5374;height:4047" fillcolor="#fde9d9 [665]" stroked="f">
              <v:textbox style="mso-fit-shape-to-text:t">
                <w:txbxContent>
                  <w:p w:rsidR="00B72308" w:rsidRPr="00B72308" w:rsidRDefault="00B72308" w:rsidP="00B72308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</w:pPr>
                    <w:r w:rsidRPr="00B72308"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  <w:t>As queixas do povo e da nobreza</w:t>
                    </w:r>
                  </w:p>
                  <w:p w:rsidR="00B72308" w:rsidRPr="00B72308" w:rsidRDefault="00B72308" w:rsidP="00B72308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</w:pPr>
                    <w:r w:rsidRPr="00B72308"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  <w:t>D</w:t>
                    </w:r>
                  </w:p>
                  <w:p w:rsidR="00B72308" w:rsidRPr="00B72308" w:rsidRDefault="00B72308" w:rsidP="00B72308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</w:pP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Os habitantes que formam o Terceiro Estado desta cidade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e paróquia de </w:t>
                    </w:r>
                    <w:proofErr w:type="spellStart"/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Valencay</w:t>
                    </w:r>
                    <w:proofErr w:type="spellEnd"/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, na </w:t>
                    </w:r>
                    <w:proofErr w:type="spellStart"/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Berry</w:t>
                    </w:r>
                    <w:proofErr w:type="spellEnd"/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, suplicam humildemente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a Vossa Majestade que sejam abolidos os impostos da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talha, da capitação e das duas vintenas. Em substituição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destes o Governo deveria estabelecer um imposto único,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em géneros ou em dinheiro […]. Deveria, ainda, obrigar os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nobres e os eclesiásticos a pagaram uma contribuição tal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como o Terceiro Estado.</w:t>
                    </w:r>
                  </w:p>
                  <w:p w:rsidR="00B72308" w:rsidRPr="005D6B77" w:rsidRDefault="00B72308" w:rsidP="00B72308">
                    <w:pPr>
                      <w:widowControl/>
                      <w:spacing w:before="0" w:line="276" w:lineRule="auto"/>
                      <w:jc w:val="right"/>
                      <w:rPr>
                        <w:rFonts w:cs="VectoraLTStd-Light"/>
                        <w:color w:val="000000"/>
                        <w:sz w:val="18"/>
                        <w:szCs w:val="24"/>
                      </w:rPr>
                    </w:pP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 xml:space="preserve">Dos </w:t>
                    </w:r>
                    <w:r w:rsidRPr="00B72308">
                      <w:rPr>
                        <w:rFonts w:asciiTheme="minorHAnsi" w:hAnsiTheme="minorHAnsi" w:cs="VectoraLTStd-LightItalic"/>
                        <w:i/>
                        <w:iCs/>
                        <w:color w:val="000000"/>
                        <w:sz w:val="18"/>
                        <w:szCs w:val="24"/>
                      </w:rPr>
                      <w:t xml:space="preserve">Cadernos de Queixas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>apresentados pelo Terceiro Estado nas Cortes,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 xml:space="preserve">René </w:t>
                    </w:r>
                    <w:proofErr w:type="spellStart"/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>Rémond</w:t>
                    </w:r>
                    <w:proofErr w:type="spellEnd"/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 xml:space="preserve">, </w:t>
                    </w:r>
                    <w:r w:rsidRPr="00B72308">
                      <w:rPr>
                        <w:rFonts w:asciiTheme="minorHAnsi" w:hAnsiTheme="minorHAnsi" w:cs="VectoraLTStd-LightItalic"/>
                        <w:i/>
                        <w:iCs/>
                        <w:color w:val="000000"/>
                        <w:sz w:val="18"/>
                        <w:szCs w:val="24"/>
                      </w:rPr>
                      <w:t>Introdução à História do Nosso Tempo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>,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18"/>
                        <w:szCs w:val="24"/>
                      </w:rPr>
                      <w:t>Gradiva, 1994</w:t>
                    </w:r>
                  </w:p>
                </w:txbxContent>
              </v:textbox>
            </v:shape>
            <v:shape id="_x0000_s1170" type="#_x0000_t202" style="position:absolute;left:6225;top:1862;width:5385;height:4047" fillcolor="#fde9d9 [665]" stroked="f">
              <v:textbox>
                <w:txbxContent>
                  <w:p w:rsidR="00B72308" w:rsidRDefault="00B72308" w:rsidP="00B72308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</w:pPr>
                  </w:p>
                  <w:p w:rsidR="00B72308" w:rsidRPr="00B72308" w:rsidRDefault="00B72308" w:rsidP="00B72308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</w:pPr>
                    <w:proofErr w:type="gramStart"/>
                    <w:r w:rsidRPr="00B72308">
                      <w:rPr>
                        <w:rFonts w:asciiTheme="minorHAnsi" w:hAnsiTheme="minorHAnsi" w:cs="VAGRoundedStd-Bold"/>
                        <w:b/>
                        <w:bCs/>
                        <w:color w:val="004366"/>
                        <w:sz w:val="24"/>
                        <w:szCs w:val="24"/>
                      </w:rPr>
                      <w:t>E</w:t>
                    </w:r>
                    <w:proofErr w:type="gramEnd"/>
                  </w:p>
                  <w:p w:rsidR="00B72308" w:rsidRPr="00B72308" w:rsidRDefault="00B72308" w:rsidP="00B72308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</w:pP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Declaramos que jamais consentiremos na extinção dos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direitos que caracteriza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ram até aqui a ordem da nobreza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e que recebemos dos nossos antepassados […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]. Determinamos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formalmente que o nosso deputado aos Estados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Gerais deve opor-se a tudo o que possa limitar os direitos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úteis ou honoríficos das nossas terras e entendemos que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não pode aceitar qualquer modificação, seja de que natureza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4"/>
                      </w:rPr>
                      <w:t>for.</w:t>
                    </w:r>
                  </w:p>
                  <w:p w:rsidR="00B72308" w:rsidRPr="00FF2046" w:rsidRDefault="00B72308" w:rsidP="00B72308">
                    <w:pPr>
                      <w:widowControl/>
                      <w:spacing w:before="0" w:line="276" w:lineRule="auto"/>
                      <w:jc w:val="right"/>
                      <w:rPr>
                        <w:rFonts w:cs="VectoraLTStd-Light"/>
                        <w:color w:val="000000"/>
                        <w:szCs w:val="24"/>
                      </w:rPr>
                    </w:pPr>
                    <w:r w:rsidRPr="00B72308">
                      <w:rPr>
                        <w:rFonts w:asciiTheme="minorHAnsi" w:hAnsiTheme="minorHAnsi" w:cs="VectoraLTStd-LightItalic"/>
                        <w:i/>
                        <w:iCs/>
                        <w:color w:val="000000"/>
                        <w:szCs w:val="24"/>
                      </w:rPr>
                      <w:t xml:space="preserve">Caderno de Queixas da nobreza de </w:t>
                    </w:r>
                    <w:proofErr w:type="spellStart"/>
                    <w:r w:rsidRPr="00B72308">
                      <w:rPr>
                        <w:rFonts w:asciiTheme="minorHAnsi" w:hAnsiTheme="minorHAnsi" w:cs="VectoraLTStd-LightItalic"/>
                        <w:i/>
                        <w:iCs/>
                        <w:color w:val="000000"/>
                        <w:szCs w:val="24"/>
                      </w:rPr>
                      <w:t>Montargis</w:t>
                    </w:r>
                    <w:proofErr w:type="spellEnd"/>
                    <w:r w:rsidRPr="00B72308">
                      <w:rPr>
                        <w:rFonts w:asciiTheme="minorHAnsi" w:hAnsiTheme="minorHAnsi" w:cs="VectoraLTStd-Light"/>
                        <w:color w:val="000000"/>
                        <w:szCs w:val="24"/>
                      </w:rPr>
                      <w:t>, apresentado aos Estados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Cs w:val="24"/>
                      </w:rPr>
                      <w:t xml:space="preserve"> </w:t>
                    </w:r>
                    <w:r w:rsidRPr="00B72308">
                      <w:rPr>
                        <w:rFonts w:asciiTheme="minorHAnsi" w:hAnsiTheme="minorHAnsi" w:cs="VectoraLTStd-Light"/>
                        <w:color w:val="000000"/>
                        <w:szCs w:val="24"/>
                      </w:rPr>
                      <w:t>Gerais de 1789</w:t>
                    </w:r>
                  </w:p>
                </w:txbxContent>
              </v:textbox>
            </v:shape>
          </v:group>
        </w:pict>
      </w:r>
    </w:p>
    <w:p w:rsidR="00112208" w:rsidRPr="00B72308" w:rsidRDefault="00112208" w:rsidP="00B72308">
      <w:pPr>
        <w:widowControl/>
        <w:spacing w:before="0" w:line="276" w:lineRule="auto"/>
        <w:jc w:val="left"/>
        <w:rPr>
          <w:rFonts w:asciiTheme="minorHAnsi" w:hAnsiTheme="minorHAnsi" w:cs="VectoraLTStd-Light"/>
          <w:color w:val="000000"/>
          <w:sz w:val="18"/>
          <w:szCs w:val="24"/>
        </w:rPr>
      </w:pPr>
    </w:p>
    <w:p w:rsidR="00B72308" w:rsidRP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ectoraLTStd-Light"/>
          <w:color w:val="000000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tbl>
      <w:tblPr>
        <w:tblStyle w:val="Tabelacomgrelha"/>
        <w:tblW w:w="0" w:type="auto"/>
        <w:jc w:val="center"/>
        <w:tblLook w:val="04A0"/>
      </w:tblPr>
      <w:tblGrid>
        <w:gridCol w:w="5172"/>
        <w:gridCol w:w="5172"/>
      </w:tblGrid>
      <w:tr w:rsidR="00B72308" w:rsidRPr="00B72308" w:rsidTr="00B72308">
        <w:trPr>
          <w:jc w:val="center"/>
        </w:trPr>
        <w:tc>
          <w:tcPr>
            <w:tcW w:w="10344" w:type="dxa"/>
            <w:gridSpan w:val="2"/>
            <w:tcBorders>
              <w:top w:val="nil"/>
              <w:left w:val="nil"/>
              <w:right w:val="nil"/>
            </w:tcBorders>
            <w:shd w:val="clear" w:color="auto" w:fill="C6D9F1" w:themeFill="text2" w:themeFillTint="33"/>
          </w:tcPr>
          <w:p w:rsidR="00B72308" w:rsidRPr="00B72308" w:rsidRDefault="00B72308" w:rsidP="00B7230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</w:pPr>
            <w:r w:rsidRPr="00B72308">
              <w:rPr>
                <w:rFonts w:asciiTheme="minorHAnsi" w:hAnsiTheme="minorHAnsi" w:cs="VAGRoundedStd-Black"/>
                <w:b/>
                <w:color w:val="004366"/>
                <w:sz w:val="24"/>
                <w:szCs w:val="24"/>
              </w:rPr>
              <w:t>REVOLUÇÃO FRANCESA</w:t>
            </w:r>
          </w:p>
        </w:tc>
      </w:tr>
      <w:tr w:rsidR="00B72308" w:rsidRPr="00B72308" w:rsidTr="00B72308">
        <w:trPr>
          <w:jc w:val="center"/>
        </w:trPr>
        <w:tc>
          <w:tcPr>
            <w:tcW w:w="5172" w:type="dxa"/>
            <w:tcBorders>
              <w:left w:val="nil"/>
            </w:tcBorders>
            <w:shd w:val="clear" w:color="auto" w:fill="D9D9D9" w:themeFill="background1" w:themeFillShade="D9"/>
          </w:tcPr>
          <w:p w:rsidR="00B72308" w:rsidRPr="00B72308" w:rsidRDefault="00B72308" w:rsidP="00B7230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</w:pPr>
            <w:r w:rsidRPr="00B72308">
              <w:rPr>
                <w:rFonts w:asciiTheme="minorHAnsi" w:hAnsiTheme="minorHAnsi" w:cs="VAGRoundedStd-Light"/>
                <w:sz w:val="24"/>
                <w:szCs w:val="24"/>
              </w:rPr>
              <w:t>Causas gerais</w:t>
            </w:r>
          </w:p>
        </w:tc>
        <w:tc>
          <w:tcPr>
            <w:tcW w:w="5172" w:type="dxa"/>
            <w:tcBorders>
              <w:right w:val="nil"/>
            </w:tcBorders>
            <w:shd w:val="clear" w:color="auto" w:fill="D9D9D9" w:themeFill="background1" w:themeFillShade="D9"/>
          </w:tcPr>
          <w:p w:rsidR="00B72308" w:rsidRPr="00B72308" w:rsidRDefault="00B72308" w:rsidP="00B7230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</w:pPr>
            <w:r w:rsidRPr="00B72308">
              <w:rPr>
                <w:rFonts w:asciiTheme="minorHAnsi" w:hAnsiTheme="minorHAnsi" w:cs="VAGRoundedStd-Light"/>
                <w:sz w:val="24"/>
                <w:szCs w:val="24"/>
              </w:rPr>
              <w:t>Causas específicas</w:t>
            </w:r>
          </w:p>
        </w:tc>
      </w:tr>
      <w:tr w:rsidR="00B72308" w:rsidRPr="00B72308" w:rsidTr="00B72308">
        <w:trPr>
          <w:trHeight w:val="3352"/>
          <w:jc w:val="center"/>
        </w:trPr>
        <w:tc>
          <w:tcPr>
            <w:tcW w:w="5172" w:type="dxa"/>
            <w:tcBorders>
              <w:left w:val="nil"/>
            </w:tcBorders>
          </w:tcPr>
          <w:p w:rsidR="00B72308" w:rsidRPr="00B72308" w:rsidRDefault="00B72308" w:rsidP="00B7230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5172" w:type="dxa"/>
            <w:tcBorders>
              <w:right w:val="nil"/>
            </w:tcBorders>
          </w:tcPr>
          <w:p w:rsidR="00B72308" w:rsidRPr="00B72308" w:rsidRDefault="00B72308" w:rsidP="00B7230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</w:pPr>
          </w:p>
        </w:tc>
      </w:tr>
    </w:tbl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B72308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2</w:t>
      </w:r>
      <w:r w:rsidRPr="00B72308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B72308">
        <w:rPr>
          <w:rFonts w:asciiTheme="minorHAnsi" w:hAnsiTheme="minorHAnsi" w:cs="MyriadPro-Semibold"/>
          <w:color w:val="000000"/>
          <w:sz w:val="24"/>
          <w:szCs w:val="24"/>
        </w:rPr>
        <w:t>Escreve um texto de resposta à questão-desafio colocada no início.</w:t>
      </w:r>
    </w:p>
    <w:p w:rsid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B72308" w:rsidRPr="00B72308" w:rsidRDefault="00B72308" w:rsidP="00B723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B72308" w:rsidRPr="00B72308" w:rsidSect="00F8261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abstractNum w:abstractNumId="1">
    <w:nsid w:val="60236BF4"/>
    <w:multiLevelType w:val="multilevel"/>
    <w:tmpl w:val="9E5A4E06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C07CC"/>
    <w:rsid w:val="00082731"/>
    <w:rsid w:val="00090F56"/>
    <w:rsid w:val="000C062E"/>
    <w:rsid w:val="000D2E17"/>
    <w:rsid w:val="000D38C0"/>
    <w:rsid w:val="00101524"/>
    <w:rsid w:val="00112208"/>
    <w:rsid w:val="00162BE4"/>
    <w:rsid w:val="00192367"/>
    <w:rsid w:val="001F338F"/>
    <w:rsid w:val="002A30D4"/>
    <w:rsid w:val="002F6C64"/>
    <w:rsid w:val="003E3E13"/>
    <w:rsid w:val="00416E2E"/>
    <w:rsid w:val="0043408D"/>
    <w:rsid w:val="00444590"/>
    <w:rsid w:val="00474979"/>
    <w:rsid w:val="00491DF7"/>
    <w:rsid w:val="004B608D"/>
    <w:rsid w:val="00525DB5"/>
    <w:rsid w:val="0054602E"/>
    <w:rsid w:val="005676BA"/>
    <w:rsid w:val="00581F5B"/>
    <w:rsid w:val="00591101"/>
    <w:rsid w:val="006407AC"/>
    <w:rsid w:val="006A3005"/>
    <w:rsid w:val="006E7EE7"/>
    <w:rsid w:val="00757E02"/>
    <w:rsid w:val="00757F2A"/>
    <w:rsid w:val="00763F1F"/>
    <w:rsid w:val="00777A02"/>
    <w:rsid w:val="007C48AA"/>
    <w:rsid w:val="007E6801"/>
    <w:rsid w:val="00840561"/>
    <w:rsid w:val="00870085"/>
    <w:rsid w:val="00872945"/>
    <w:rsid w:val="008B303B"/>
    <w:rsid w:val="008E5639"/>
    <w:rsid w:val="009009A9"/>
    <w:rsid w:val="009921C9"/>
    <w:rsid w:val="009C07CC"/>
    <w:rsid w:val="009D1B30"/>
    <w:rsid w:val="009E0649"/>
    <w:rsid w:val="00A35E6F"/>
    <w:rsid w:val="00A374CE"/>
    <w:rsid w:val="00AB6960"/>
    <w:rsid w:val="00AF0AB9"/>
    <w:rsid w:val="00B12ACD"/>
    <w:rsid w:val="00B168A7"/>
    <w:rsid w:val="00B641D0"/>
    <w:rsid w:val="00B72308"/>
    <w:rsid w:val="00B811FB"/>
    <w:rsid w:val="00BD700F"/>
    <w:rsid w:val="00C00890"/>
    <w:rsid w:val="00C5788B"/>
    <w:rsid w:val="00CD70AA"/>
    <w:rsid w:val="00CF1509"/>
    <w:rsid w:val="00D1091E"/>
    <w:rsid w:val="00DD3487"/>
    <w:rsid w:val="00DF5333"/>
    <w:rsid w:val="00E10814"/>
    <w:rsid w:val="00E335EC"/>
    <w:rsid w:val="00E4732D"/>
    <w:rsid w:val="00E6067A"/>
    <w:rsid w:val="00E761D0"/>
    <w:rsid w:val="00F14D12"/>
    <w:rsid w:val="00F82611"/>
    <w:rsid w:val="00F92162"/>
    <w:rsid w:val="00F94385"/>
    <w:rsid w:val="00F95586"/>
    <w:rsid w:val="00FD3960"/>
    <w:rsid w:val="00FF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fc7404,#c90,#eeb000"/>
      <o:colormenu v:ext="edit" fillcolor="none [665]" strokecolor="none"/>
    </o:shapedefaults>
    <o:shapelayout v:ext="edit">
      <o:idmap v:ext="edit" data="1"/>
      <o:rules v:ext="edit">
        <o:r id="V:Rule3" type="connector" idref="#_x0000_s1174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elacomgrelha">
    <w:name w:val="Table Grid"/>
    <w:basedOn w:val="Tabela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2014-03-23T22:40:00Z</dcterms:created>
  <dcterms:modified xsi:type="dcterms:W3CDTF">2014-04-23T23:30:00Z</dcterms:modified>
</cp:coreProperties>
</file>