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0231BD" w:rsidP="00D15D5A">
      <w:pPr>
        <w:spacing w:before="0"/>
        <w:jc w:val="right"/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</w:pPr>
      <w:r w:rsidRPr="000231BD">
        <w:rPr>
          <w:rFonts w:asciiTheme="minorHAnsi" w:hAnsiTheme="minorHAnsi"/>
          <w:b/>
          <w:color w:val="A6A6A6" w:themeColor="background1" w:themeShade="A6"/>
          <w:sz w:val="18"/>
          <w:szCs w:val="24"/>
        </w:rPr>
        <w:pict>
          <v:oval id="_x0000_s1026" style="position:absolute;left:0;text-align:left;margin-left:-70.4pt;margin-top:-58.9pt;width:88.5pt;height:78pt;z-index:251658240" fillcolor="#ffc000" stroked="f"/>
        </w:pict>
      </w:r>
      <w:r w:rsidR="00EF7927" w:rsidRPr="00EF7927"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  <w:t>Correção</w:t>
      </w:r>
    </w:p>
    <w:p w:rsidR="00EF7927" w:rsidRDefault="00EF7927" w:rsidP="00BD0EFA">
      <w:pPr>
        <w:spacing w:before="0"/>
        <w:jc w:val="left"/>
        <w:rPr>
          <w:rFonts w:asciiTheme="minorHAnsi" w:hAnsiTheme="minorHAnsi"/>
          <w:b/>
          <w:color w:val="A6A6A6" w:themeColor="background1" w:themeShade="A6"/>
          <w:sz w:val="24"/>
        </w:rPr>
      </w:pPr>
    </w:p>
    <w:p w:rsidR="00EF7927" w:rsidRPr="00E1584A" w:rsidRDefault="00EF792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Cs w:val="22"/>
        </w:rPr>
      </w:pPr>
      <w:r w:rsidRPr="00D15D5A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Critérios específicos de correção </w:t>
      </w:r>
      <w:r w:rsidRPr="00D15D5A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E1584A" w:rsidRPr="00E1584A">
        <w:rPr>
          <w:rFonts w:asciiTheme="minorHAnsi" w:hAnsiTheme="minorHAnsi" w:cs="MyriadPro-Cond"/>
          <w:color w:val="005277"/>
          <w:sz w:val="36"/>
          <w:szCs w:val="40"/>
        </w:rPr>
        <w:t>6.2. Um século de mudanças (século XVIII)</w:t>
      </w:r>
    </w:p>
    <w:p w:rsidR="00EF7927" w:rsidRPr="0078011A" w:rsidRDefault="00EF792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2"/>
          <w:szCs w:val="22"/>
        </w:rPr>
        <w:sectPr w:rsidR="00EF7927" w:rsidRPr="0078011A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:rsidR="00E1584A" w:rsidRDefault="00E1584A" w:rsidP="00E1584A">
      <w:pPr>
        <w:widowControl/>
        <w:spacing w:before="0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3A909"/>
          <w:sz w:val="24"/>
        </w:rPr>
        <w:sectPr w:rsidR="00E1584A" w:rsidSect="00E1584A">
          <w:type w:val="continuous"/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:rsidR="00E1584A" w:rsidRPr="00E1584A" w:rsidRDefault="00E1584A" w:rsidP="00E1584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E1584A">
        <w:rPr>
          <w:rFonts w:asciiTheme="minorHAnsi" w:hAnsiTheme="minorHAnsi" w:cs="VAGRoundedStd-Bold"/>
          <w:b/>
          <w:bCs/>
          <w:color w:val="D3A909"/>
          <w:sz w:val="24"/>
        </w:rPr>
        <w:lastRenderedPageBreak/>
        <w:t>GRUPO I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>1.1.</w:t>
      </w:r>
    </w:p>
    <w:tbl>
      <w:tblPr>
        <w:tblStyle w:val="Tabelacomgrelha"/>
        <w:tblW w:w="0" w:type="auto"/>
        <w:tblLook w:val="04A0"/>
      </w:tblPr>
      <w:tblGrid>
        <w:gridCol w:w="647"/>
        <w:gridCol w:w="1043"/>
        <w:gridCol w:w="1045"/>
        <w:gridCol w:w="1071"/>
        <w:gridCol w:w="875"/>
      </w:tblGrid>
      <w:tr w:rsidR="00E1584A" w:rsidRPr="00E1584A" w:rsidTr="00E1584A">
        <w:trPr>
          <w:trHeight w:val="395"/>
        </w:trPr>
        <w:tc>
          <w:tcPr>
            <w:tcW w:w="789" w:type="dxa"/>
            <w:shd w:val="clear" w:color="auto" w:fill="D9D9D9" w:themeFill="background1" w:themeFillShade="D9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Datas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1709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1751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1772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1779</w:t>
            </w:r>
          </w:p>
        </w:tc>
      </w:tr>
      <w:tr w:rsidR="00E1584A" w:rsidRPr="00E1584A" w:rsidTr="00E1584A">
        <w:trPr>
          <w:cantSplit/>
          <w:trHeight w:val="1407"/>
        </w:trPr>
        <w:tc>
          <w:tcPr>
            <w:tcW w:w="789" w:type="dxa"/>
            <w:shd w:val="clear" w:color="auto" w:fill="D9D9D9" w:themeFill="background1" w:themeFillShade="D9"/>
            <w:textDirection w:val="btLr"/>
            <w:vAlign w:val="center"/>
          </w:tcPr>
          <w:p w:rsidR="00E1584A" w:rsidRPr="00E1584A" w:rsidRDefault="00E1584A" w:rsidP="00E1584A">
            <w:pPr>
              <w:widowControl/>
              <w:ind w:left="113" w:right="113"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  <w:t>Acontecimentos</w:t>
            </w:r>
          </w:p>
        </w:tc>
        <w:tc>
          <w:tcPr>
            <w:tcW w:w="921" w:type="dxa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Bartolomeu</w:t>
            </w:r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</w:pPr>
            <w:proofErr w:type="gramStart"/>
            <w:r w:rsidRPr="00E1584A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de</w:t>
            </w:r>
            <w:proofErr w:type="gramEnd"/>
            <w:r w:rsidRPr="00E1584A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 xml:space="preserve"> Gusmão</w:t>
            </w:r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experimenta</w:t>
            </w:r>
            <w:proofErr w:type="gramEnd"/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viajar</w:t>
            </w:r>
            <w:proofErr w:type="gramEnd"/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num</w:t>
            </w:r>
            <w:proofErr w:type="gramEnd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 xml:space="preserve"> balão</w:t>
            </w:r>
          </w:p>
        </w:tc>
        <w:tc>
          <w:tcPr>
            <w:tcW w:w="921" w:type="dxa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 xml:space="preserve">Publicação </w:t>
            </w: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da</w:t>
            </w:r>
            <w:proofErr w:type="gramEnd"/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r w:rsidRPr="00E1584A">
              <w:rPr>
                <w:rFonts w:asciiTheme="minorHAnsi" w:hAnsiTheme="minorHAnsi" w:cs="MyriadPro-BoldIt"/>
                <w:b/>
                <w:bCs/>
                <w:i/>
                <w:iCs/>
                <w:sz w:val="16"/>
                <w:szCs w:val="18"/>
              </w:rPr>
              <w:t>Enciclopédia</w:t>
            </w:r>
          </w:p>
        </w:tc>
        <w:tc>
          <w:tcPr>
            <w:tcW w:w="921" w:type="dxa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 xml:space="preserve">Reforma </w:t>
            </w: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na</w:t>
            </w:r>
            <w:proofErr w:type="gramEnd"/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Universidade</w:t>
            </w:r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de</w:t>
            </w:r>
            <w:proofErr w:type="gramEnd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 xml:space="preserve"> Coimbra</w:t>
            </w:r>
          </w:p>
        </w:tc>
        <w:tc>
          <w:tcPr>
            <w:tcW w:w="921" w:type="dxa"/>
            <w:vAlign w:val="center"/>
          </w:tcPr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 xml:space="preserve">Fundação </w:t>
            </w: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da</w:t>
            </w:r>
            <w:proofErr w:type="gramEnd"/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MyriadPro-Regular"/>
                <w:sz w:val="16"/>
                <w:szCs w:val="18"/>
              </w:rPr>
            </w:pPr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Academia</w:t>
            </w:r>
          </w:p>
          <w:p w:rsidR="00E1584A" w:rsidRPr="00E1584A" w:rsidRDefault="00E1584A" w:rsidP="00E1584A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16"/>
                <w:szCs w:val="18"/>
              </w:rPr>
            </w:pPr>
            <w:proofErr w:type="gramStart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>de</w:t>
            </w:r>
            <w:proofErr w:type="gramEnd"/>
            <w:r w:rsidRPr="00E1584A">
              <w:rPr>
                <w:rFonts w:asciiTheme="minorHAnsi" w:hAnsiTheme="minorHAnsi" w:cs="MyriadPro-Regular"/>
                <w:sz w:val="16"/>
                <w:szCs w:val="18"/>
              </w:rPr>
              <w:t xml:space="preserve"> </w:t>
            </w:r>
            <w:r w:rsidRPr="00E1584A">
              <w:rPr>
                <w:rFonts w:asciiTheme="minorHAnsi" w:hAnsiTheme="minorHAnsi" w:cs="MyriadPro-Bold"/>
                <w:b/>
                <w:bCs/>
                <w:sz w:val="16"/>
                <w:szCs w:val="18"/>
              </w:rPr>
              <w:t>Lisboa</w:t>
            </w:r>
          </w:p>
        </w:tc>
      </w:tr>
    </w:tbl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>1.2.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(A) (5)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(B) (6)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(C) (2)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(D) (1)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(E) (3)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(F) (4)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1.3.1. </w:t>
      </w:r>
      <w:r w:rsidRPr="00E1584A">
        <w:rPr>
          <w:rFonts w:asciiTheme="minorHAnsi" w:hAnsiTheme="minorHAnsi" w:cs="MyriadPro-Regular"/>
          <w:color w:val="000000"/>
        </w:rPr>
        <w:t>Circulação do sangue.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1.3.2. </w:t>
      </w:r>
      <w:r w:rsidRPr="00E1584A">
        <w:rPr>
          <w:rFonts w:asciiTheme="minorHAnsi" w:hAnsiTheme="minorHAnsi" w:cs="MyriadPro-Regular"/>
          <w:color w:val="000000"/>
        </w:rPr>
        <w:t xml:space="preserve">A ignorância e as superstições instaladas </w:t>
      </w:r>
      <w:proofErr w:type="gramStart"/>
      <w:r w:rsidRPr="00E1584A">
        <w:rPr>
          <w:rFonts w:asciiTheme="minorHAnsi" w:hAnsiTheme="minorHAnsi" w:cs="MyriadPro-Regular"/>
          <w:color w:val="000000"/>
        </w:rPr>
        <w:t>na</w:t>
      </w:r>
      <w:proofErr w:type="gramEnd"/>
    </w:p>
    <w:p w:rsidR="00E1584A" w:rsidRPr="00E1584A" w:rsidRDefault="00E1584A" w:rsidP="00E1584A">
      <w:pPr>
        <w:widowControl/>
        <w:spacing w:before="0"/>
        <w:ind w:left="51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sociedade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do século XVII, alimentadas ao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longo de séculos por um ensino tradicional e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religioso, causavam receio aos cientistas em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expor as suas descobertas, sob pena de serem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desacreditados e maltratados.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1.4. </w:t>
      </w:r>
      <w:r w:rsidRPr="00E1584A">
        <w:rPr>
          <w:rFonts w:asciiTheme="minorHAnsi" w:hAnsiTheme="minorHAnsi" w:cs="MyriadPro-Regular"/>
          <w:color w:val="000000"/>
        </w:rPr>
        <w:t>A razão/racionalismo.</w:t>
      </w:r>
    </w:p>
    <w:p w:rsidR="00E1584A" w:rsidRDefault="00E1584A" w:rsidP="00E1584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</w:p>
    <w:p w:rsidR="00E1584A" w:rsidRPr="00E1584A" w:rsidRDefault="00E1584A" w:rsidP="00E1584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E1584A">
        <w:rPr>
          <w:rFonts w:asciiTheme="minorHAnsi" w:hAnsiTheme="minorHAnsi" w:cs="VAGRoundedStd-Bold"/>
          <w:b/>
          <w:bCs/>
          <w:color w:val="D3A909"/>
          <w:sz w:val="24"/>
        </w:rPr>
        <w:t>GRUPO II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2.1. </w:t>
      </w:r>
      <w:r w:rsidRPr="00E1584A">
        <w:rPr>
          <w:rFonts w:asciiTheme="minorHAnsi" w:hAnsiTheme="minorHAnsi" w:cs="MyriadPro-Regular"/>
          <w:color w:val="000000"/>
        </w:rPr>
        <w:t>As academias eram sociedades científicas onde</w:t>
      </w:r>
      <w:r>
        <w:rPr>
          <w:rFonts w:asciiTheme="minorHAnsi" w:hAnsiTheme="minorHAnsi" w:cs="MyriadPro-Regular"/>
          <w:color w:val="000000"/>
        </w:rPr>
        <w:t xml:space="preserve"> </w:t>
      </w:r>
      <w:proofErr w:type="gramStart"/>
      <w:r w:rsidRPr="00E1584A">
        <w:rPr>
          <w:rFonts w:asciiTheme="minorHAnsi" w:hAnsiTheme="minorHAnsi" w:cs="MyriadPro-Regular"/>
          <w:color w:val="000000"/>
        </w:rPr>
        <w:t>se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</w:t>
      </w:r>
    </w:p>
    <w:p w:rsidR="00E1584A" w:rsidRPr="00E1584A" w:rsidRDefault="00E1584A" w:rsidP="00E1584A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partilhavam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ideias, conhecimentos e experiências.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2.2. </w:t>
      </w:r>
      <w:r w:rsidRPr="00E1584A">
        <w:rPr>
          <w:rFonts w:asciiTheme="minorHAnsi" w:hAnsiTheme="minorHAnsi" w:cs="MyriadPro-Regular"/>
          <w:color w:val="000000"/>
        </w:rPr>
        <w:t>Bibliotecas (locais de informação e divulgação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 xml:space="preserve">da </w:t>
      </w:r>
    </w:p>
    <w:p w:rsidR="00E1584A" w:rsidRPr="00E1584A" w:rsidRDefault="00E1584A" w:rsidP="00E1584A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literatura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científica), instrumentos para a realização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de experiências.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2.3. </w:t>
      </w:r>
      <w:r w:rsidRPr="00E1584A">
        <w:rPr>
          <w:rFonts w:asciiTheme="minorHAnsi" w:hAnsiTheme="minorHAnsi" w:cs="MyriadPro-Regular"/>
          <w:color w:val="000000"/>
        </w:rPr>
        <w:t xml:space="preserve">A </w:t>
      </w:r>
      <w:r w:rsidRPr="00E1584A">
        <w:rPr>
          <w:rFonts w:asciiTheme="minorHAnsi" w:hAnsiTheme="minorHAnsi" w:cs="MyriadPro-It"/>
          <w:i/>
          <w:iCs/>
          <w:color w:val="000000"/>
        </w:rPr>
        <w:t xml:space="preserve">Enciclopédia </w:t>
      </w:r>
      <w:r w:rsidRPr="00E1584A">
        <w:rPr>
          <w:rFonts w:asciiTheme="minorHAnsi" w:hAnsiTheme="minorHAnsi" w:cs="MyriadPro-Regular"/>
          <w:color w:val="000000"/>
        </w:rPr>
        <w:t>era uma obra que reunia milhares</w:t>
      </w:r>
      <w:r>
        <w:rPr>
          <w:rFonts w:asciiTheme="minorHAnsi" w:hAnsiTheme="minorHAnsi" w:cs="MyriadPro-Regular"/>
          <w:color w:val="000000"/>
        </w:rPr>
        <w:t xml:space="preserve"> </w:t>
      </w:r>
    </w:p>
    <w:p w:rsidR="00E1584A" w:rsidRPr="00E1584A" w:rsidRDefault="00E1584A" w:rsidP="00E1584A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de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artigos, escritos por pensadores iluministas e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por cientistas, relativos a várias áreas do conhecimento,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como, por exemplo, a filosofia, a política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e as ciências naturais.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It"/>
          <w:i/>
          <w:iCs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>2.4.</w:t>
      </w:r>
      <w:r w:rsidRPr="00E1584A">
        <w:rPr>
          <w:rFonts w:asciiTheme="minorHAnsi" w:hAnsiTheme="minorHAnsi" w:cs="MyriadPro-Regular"/>
          <w:color w:val="000000"/>
        </w:rPr>
        <w:t xml:space="preserve"> Luís António </w:t>
      </w:r>
      <w:proofErr w:type="spellStart"/>
      <w:r w:rsidRPr="00E1584A">
        <w:rPr>
          <w:rFonts w:asciiTheme="minorHAnsi" w:hAnsiTheme="minorHAnsi" w:cs="MyriadPro-Regular"/>
          <w:color w:val="000000"/>
        </w:rPr>
        <w:t>Verney</w:t>
      </w:r>
      <w:proofErr w:type="spellEnd"/>
      <w:r w:rsidRPr="00E1584A">
        <w:rPr>
          <w:rFonts w:asciiTheme="minorHAnsi" w:hAnsiTheme="minorHAnsi" w:cs="MyriadPro-Regular"/>
          <w:color w:val="000000"/>
        </w:rPr>
        <w:t xml:space="preserve">, autor de </w:t>
      </w:r>
      <w:r w:rsidRPr="00E1584A">
        <w:rPr>
          <w:rFonts w:asciiTheme="minorHAnsi" w:hAnsiTheme="minorHAnsi" w:cs="MyriadPro-It"/>
          <w:i/>
          <w:iCs/>
          <w:color w:val="000000"/>
        </w:rPr>
        <w:t>O Verdadeiro</w:t>
      </w:r>
    </w:p>
    <w:p w:rsidR="00E1584A" w:rsidRPr="00E1584A" w:rsidRDefault="00E1584A" w:rsidP="00E1584A">
      <w:pPr>
        <w:widowControl/>
        <w:spacing w:before="0"/>
        <w:ind w:left="340"/>
        <w:jc w:val="left"/>
        <w:rPr>
          <w:rFonts w:asciiTheme="minorHAnsi" w:hAnsiTheme="minorHAnsi" w:cs="MyriadPro-It"/>
          <w:i/>
          <w:iCs/>
          <w:color w:val="000000"/>
        </w:rPr>
      </w:pPr>
      <w:r w:rsidRPr="00E1584A">
        <w:rPr>
          <w:rFonts w:asciiTheme="minorHAnsi" w:hAnsiTheme="minorHAnsi" w:cs="MyriadPro-It"/>
          <w:i/>
          <w:iCs/>
          <w:color w:val="000000"/>
        </w:rPr>
        <w:t>Método de Estudar.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>2.5.</w:t>
      </w:r>
      <w:r w:rsidRPr="00E1584A">
        <w:rPr>
          <w:rFonts w:asciiTheme="minorHAnsi" w:hAnsiTheme="minorHAnsi" w:cs="MyriadPro-Regular"/>
          <w:color w:val="000000"/>
        </w:rPr>
        <w:t xml:space="preserve"> Os estrangeirados foram intelectuais portugueses</w:t>
      </w:r>
    </w:p>
    <w:p w:rsidR="00E1584A" w:rsidRPr="00E1584A" w:rsidRDefault="00E1584A" w:rsidP="00E1584A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que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viveram no estrangeiro e que contactaram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com as novas ideias iluministas,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trazendo-as depois para Portugal.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2.6. </w:t>
      </w:r>
      <w:r w:rsidRPr="00E1584A">
        <w:rPr>
          <w:rFonts w:asciiTheme="minorHAnsi" w:hAnsiTheme="minorHAnsi" w:cs="MyriadPro-Regular"/>
          <w:color w:val="000000"/>
        </w:rPr>
        <w:t xml:space="preserve">Ao criticarem o atraso cultural português, </w:t>
      </w:r>
      <w:proofErr w:type="gramStart"/>
      <w:r w:rsidRPr="00E1584A">
        <w:rPr>
          <w:rFonts w:asciiTheme="minorHAnsi" w:hAnsiTheme="minorHAnsi" w:cs="MyriadPro-Regular"/>
          <w:color w:val="000000"/>
        </w:rPr>
        <w:t>os</w:t>
      </w:r>
      <w:proofErr w:type="gramEnd"/>
    </w:p>
    <w:p w:rsidR="00E1584A" w:rsidRPr="00E1584A" w:rsidRDefault="00E1584A" w:rsidP="00E1584A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estrangeirados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apresentaram novas propostas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na área do ensino, da cultura e mesmo do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governo. Desta forma, o Marquês de Pombal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levou a cabo um conjunto de reformas para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modernizar o país, nomeadamente ao nível do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ensino: aumentou o número de escolas para 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ensino da leitura, da escrita e das contas; fundou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o Real Colégio dos Nobres, destinado à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educação da Nobreza, e a Aula do Comércio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para a formação dos jovens burgueses; reformou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a Universidade de Coimbra; laicizou o sistema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de ensino no país ao subtraí-lo aos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membros da Companhia de Jesus.</w:t>
      </w:r>
    </w:p>
    <w:p w:rsidR="00E1584A" w:rsidRDefault="00E1584A" w:rsidP="00E1584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</w:p>
    <w:p w:rsidR="00E1584A" w:rsidRPr="00E1584A" w:rsidRDefault="00E1584A" w:rsidP="00E1584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E1584A">
        <w:rPr>
          <w:rFonts w:asciiTheme="minorHAnsi" w:hAnsiTheme="minorHAnsi" w:cs="VAGRoundedStd-Bold"/>
          <w:b/>
          <w:bCs/>
          <w:color w:val="D3A909"/>
          <w:sz w:val="24"/>
        </w:rPr>
        <w:t>GRUPO III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>3.1.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55" style="position:absolute;margin-left:-1.1pt;margin-top:.75pt;width:7.15pt;height:11.25pt;z-index:-251657216"/>
        </w:pict>
      </w:r>
      <w:r w:rsidRPr="00E1584A">
        <w:rPr>
          <w:rFonts w:asciiTheme="minorHAnsi" w:hAnsiTheme="minorHAnsi" w:cs="MyriadPro-Regular"/>
          <w:color w:val="000000"/>
        </w:rPr>
        <w:t>V O Marquês de Pombal pôs em marcha medidas</w:t>
      </w:r>
    </w:p>
    <w:p w:rsidR="00E1584A" w:rsidRPr="00E1584A" w:rsidRDefault="00E1584A" w:rsidP="00E1584A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de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fomento industrial.</w:t>
      </w:r>
    </w:p>
    <w:p w:rsidR="00E1584A" w:rsidRPr="00E1584A" w:rsidRDefault="0037236D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56" style="position:absolute;margin-left:-1.1pt;margin-top:1.85pt;width:7.15pt;height:11.25pt;z-index:-251656192"/>
        </w:pict>
      </w:r>
      <w:r w:rsidR="00E1584A" w:rsidRPr="00E1584A">
        <w:rPr>
          <w:rFonts w:asciiTheme="minorHAnsi" w:hAnsiTheme="minorHAnsi" w:cs="MyriadPro-Regular"/>
          <w:color w:val="000000"/>
        </w:rPr>
        <w:t>V A política económica pombalina seguiu as regras</w:t>
      </w:r>
    </w:p>
    <w:p w:rsidR="00E1584A" w:rsidRPr="00E1584A" w:rsidRDefault="00E1584A" w:rsidP="00E1584A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do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mercantilismo.</w:t>
      </w:r>
    </w:p>
    <w:p w:rsidR="00E1584A" w:rsidRPr="00E1584A" w:rsidRDefault="0037236D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57" style="position:absolute;margin-left:-1.85pt;margin-top:1.45pt;width:7.15pt;height:11.25pt;z-index:-251655168"/>
        </w:pict>
      </w:r>
      <w:r w:rsidR="00E1584A" w:rsidRPr="00E1584A">
        <w:rPr>
          <w:rFonts w:asciiTheme="minorHAnsi" w:hAnsiTheme="minorHAnsi" w:cs="MyriadPro-Regular"/>
          <w:color w:val="000000"/>
        </w:rPr>
        <w:t>F A elevada produção de açúcar no Brasil compensava</w:t>
      </w:r>
    </w:p>
    <w:p w:rsidR="00E1584A" w:rsidRPr="00E1584A" w:rsidRDefault="00E1584A" w:rsidP="00E1584A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as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importações portuguesas.</w:t>
      </w:r>
    </w:p>
    <w:p w:rsidR="00E1584A" w:rsidRPr="00E1584A" w:rsidRDefault="0037236D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>
          <v:rect id="_x0000_s1058" style="position:absolute;margin-left:-1.85pt;margin-top:1.75pt;width:7.15pt;height:11.25pt;z-index:-251654144"/>
        </w:pict>
      </w:r>
      <w:r w:rsidR="00E1584A" w:rsidRPr="00E1584A">
        <w:rPr>
          <w:rFonts w:asciiTheme="minorHAnsi" w:hAnsiTheme="minorHAnsi" w:cs="MyriadPro-Regular"/>
          <w:color w:val="000000"/>
        </w:rPr>
        <w:t xml:space="preserve">F A balança comercial portuguesa era favorável </w:t>
      </w:r>
      <w:proofErr w:type="gramStart"/>
      <w:r w:rsidR="00E1584A" w:rsidRPr="00E1584A">
        <w:rPr>
          <w:rFonts w:asciiTheme="minorHAnsi" w:hAnsiTheme="minorHAnsi" w:cs="MyriadPro-Regular"/>
          <w:color w:val="000000"/>
        </w:rPr>
        <w:t>na</w:t>
      </w:r>
      <w:proofErr w:type="gramEnd"/>
    </w:p>
    <w:p w:rsidR="00E1584A" w:rsidRPr="00E1584A" w:rsidRDefault="00E1584A" w:rsidP="00E1584A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década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de 70 do século XVIII.</w:t>
      </w:r>
    </w:p>
    <w:p w:rsidR="00E1584A" w:rsidRPr="00E1584A" w:rsidRDefault="0037236D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>
          <v:rect id="_x0000_s1059" style="position:absolute;margin-left:-2.6pt;margin-top:.6pt;width:7.15pt;height:11.25pt;z-index:-251653120"/>
        </w:pict>
      </w:r>
      <w:r w:rsidR="00E1584A" w:rsidRPr="00E1584A">
        <w:rPr>
          <w:rFonts w:asciiTheme="minorHAnsi" w:hAnsiTheme="minorHAnsi" w:cs="MyriadPro-Regular"/>
          <w:color w:val="000000"/>
        </w:rPr>
        <w:t>F As ordens sociais privilegiadas foram promovidas</w:t>
      </w:r>
    </w:p>
    <w:p w:rsidR="00E1584A" w:rsidRPr="00E1584A" w:rsidRDefault="00E1584A" w:rsidP="00E1584A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socialmente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durante o governo pombalino.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>3.2.</w:t>
      </w: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A menor produção de açúcar no Brasil não compensava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as importações portuguesas.</w:t>
      </w:r>
    </w:p>
    <w:p w:rsidR="0037236D" w:rsidRDefault="0037236D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A balança comercial portuguesa era desfavorável na</w:t>
      </w:r>
      <w:r w:rsidR="0037236D"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década de 70 do século XVIII.</w:t>
      </w:r>
    </w:p>
    <w:p w:rsidR="0037236D" w:rsidRDefault="0037236D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0000"/>
        </w:rPr>
        <w:t>As ordens sociais privilegiadas foram despromovidas</w:t>
      </w:r>
      <w:r w:rsidR="0037236D"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socialmente durante o governo pombalino.</w:t>
      </w:r>
    </w:p>
    <w:p w:rsidR="00E1584A" w:rsidRDefault="00E1584A" w:rsidP="00E1584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</w:p>
    <w:p w:rsidR="00E1584A" w:rsidRPr="00E1584A" w:rsidRDefault="00E1584A" w:rsidP="00E1584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E1584A">
        <w:rPr>
          <w:rFonts w:asciiTheme="minorHAnsi" w:hAnsiTheme="minorHAnsi" w:cs="VAGRoundedStd-Bold"/>
          <w:b/>
          <w:bCs/>
          <w:color w:val="D3A909"/>
          <w:sz w:val="24"/>
        </w:rPr>
        <w:t>GRUPO IV</w:t>
      </w:r>
    </w:p>
    <w:p w:rsidR="00E1584A" w:rsidRDefault="00E1584A" w:rsidP="00E1584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:rsidR="00E1584A" w:rsidRPr="00E1584A" w:rsidRDefault="00E1584A" w:rsidP="00E1584A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VAGRoundedStd-Bold"/>
          <w:b/>
          <w:bCs/>
          <w:color w:val="005277"/>
        </w:rPr>
        <w:t xml:space="preserve">4.1. </w:t>
      </w:r>
      <w:r w:rsidRPr="00E1584A">
        <w:rPr>
          <w:rFonts w:asciiTheme="minorHAnsi" w:hAnsiTheme="minorHAnsi" w:cs="MyriadPro-Regular"/>
          <w:color w:val="000000"/>
        </w:rPr>
        <w:t>Na correção da resposta é considerado:</w:t>
      </w:r>
    </w:p>
    <w:p w:rsidR="00E1584A" w:rsidRPr="00E1584A" w:rsidRDefault="00E1584A" w:rsidP="0037236D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5277"/>
        </w:rPr>
        <w:t xml:space="preserve">• </w:t>
      </w:r>
      <w:proofErr w:type="gramStart"/>
      <w:r w:rsidRPr="00E1584A">
        <w:rPr>
          <w:rFonts w:asciiTheme="minorHAnsi" w:hAnsiTheme="minorHAnsi" w:cs="MyriadPro-Regular"/>
          <w:color w:val="000000"/>
        </w:rPr>
        <w:t>adequação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da resposta à temática;</w:t>
      </w:r>
    </w:p>
    <w:p w:rsidR="00E1584A" w:rsidRPr="00E1584A" w:rsidRDefault="00E1584A" w:rsidP="0037236D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5277"/>
        </w:rPr>
        <w:t xml:space="preserve">• </w:t>
      </w:r>
      <w:proofErr w:type="gramStart"/>
      <w:r w:rsidRPr="00E1584A">
        <w:rPr>
          <w:rFonts w:asciiTheme="minorHAnsi" w:hAnsiTheme="minorHAnsi" w:cs="MyriadPro-Regular"/>
          <w:color w:val="000000"/>
        </w:rPr>
        <w:t>integração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da análise das fontes solicitadas;</w:t>
      </w:r>
    </w:p>
    <w:p w:rsidR="00E1584A" w:rsidRPr="00E1584A" w:rsidRDefault="00E1584A" w:rsidP="0037236D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E1584A">
        <w:rPr>
          <w:rFonts w:asciiTheme="minorHAnsi" w:hAnsiTheme="minorHAnsi" w:cs="MyriadPro-Regular"/>
          <w:color w:val="005277"/>
        </w:rPr>
        <w:t xml:space="preserve">• </w:t>
      </w:r>
      <w:proofErr w:type="gramStart"/>
      <w:r w:rsidRPr="00E1584A">
        <w:rPr>
          <w:rFonts w:asciiTheme="minorHAnsi" w:hAnsiTheme="minorHAnsi" w:cs="MyriadPro-Regular"/>
          <w:color w:val="000000"/>
        </w:rPr>
        <w:t>utilização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correta dos conceitos específicos,</w:t>
      </w:r>
    </w:p>
    <w:p w:rsidR="00E1584A" w:rsidRPr="00E1584A" w:rsidRDefault="00E1584A" w:rsidP="0037236D">
      <w:pPr>
        <w:widowControl/>
        <w:spacing w:before="0"/>
        <w:ind w:left="510"/>
        <w:jc w:val="left"/>
        <w:rPr>
          <w:rFonts w:asciiTheme="minorHAnsi" w:hAnsiTheme="minorHAnsi" w:cs="MyriadPro-Regular"/>
          <w:color w:val="000000"/>
        </w:rPr>
      </w:pPr>
      <w:proofErr w:type="gramStart"/>
      <w:r w:rsidRPr="00E1584A">
        <w:rPr>
          <w:rFonts w:asciiTheme="minorHAnsi" w:hAnsiTheme="minorHAnsi" w:cs="MyriadPro-Regular"/>
          <w:color w:val="000000"/>
        </w:rPr>
        <w:t>como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Iluminismo, alfabetização, liberdade,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E1584A">
        <w:rPr>
          <w:rFonts w:asciiTheme="minorHAnsi" w:hAnsiTheme="minorHAnsi" w:cs="MyriadPro-Regular"/>
          <w:color w:val="000000"/>
        </w:rPr>
        <w:t>igualdade;</w:t>
      </w:r>
    </w:p>
    <w:p w:rsidR="00E1584A" w:rsidRPr="00E1584A" w:rsidRDefault="00E1584A" w:rsidP="0037236D">
      <w:pPr>
        <w:widowControl/>
        <w:spacing w:before="0"/>
        <w:ind w:left="340"/>
        <w:rPr>
          <w:rFonts w:asciiTheme="minorHAnsi" w:hAnsiTheme="minorHAnsi" w:cs="VAGRoundedStd-Bold"/>
          <w:b/>
          <w:bCs/>
          <w:color w:val="D8AF00"/>
        </w:rPr>
      </w:pPr>
      <w:r w:rsidRPr="00E1584A">
        <w:rPr>
          <w:rFonts w:asciiTheme="minorHAnsi" w:hAnsiTheme="minorHAnsi" w:cs="MyriadPro-Regular"/>
          <w:color w:val="005277"/>
        </w:rPr>
        <w:t xml:space="preserve">• </w:t>
      </w:r>
      <w:proofErr w:type="gramStart"/>
      <w:r w:rsidRPr="00E1584A">
        <w:rPr>
          <w:rFonts w:asciiTheme="minorHAnsi" w:hAnsiTheme="minorHAnsi" w:cs="MyriadPro-Regular"/>
          <w:color w:val="000000"/>
        </w:rPr>
        <w:t>correção</w:t>
      </w:r>
      <w:proofErr w:type="gramEnd"/>
      <w:r w:rsidRPr="00E1584A">
        <w:rPr>
          <w:rFonts w:asciiTheme="minorHAnsi" w:hAnsiTheme="minorHAnsi" w:cs="MyriadPro-Regular"/>
          <w:color w:val="000000"/>
        </w:rPr>
        <w:t xml:space="preserve"> sintática e linguística.</w:t>
      </w:r>
    </w:p>
    <w:sectPr w:rsidR="00E1584A" w:rsidRPr="00E1584A" w:rsidSect="00E1584A">
      <w:type w:val="continuous"/>
      <w:pgSz w:w="11906" w:h="16838"/>
      <w:pgMar w:top="851" w:right="1134" w:bottom="851" w:left="1134" w:header="340" w:footer="340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CEB" w:rsidRDefault="001D6CEB" w:rsidP="00BD0EFA">
      <w:pPr>
        <w:spacing w:before="0"/>
      </w:pPr>
      <w:r>
        <w:separator/>
      </w:r>
    </w:p>
  </w:endnote>
  <w:endnote w:type="continuationSeparator" w:id="0">
    <w:p w:rsidR="001D6CEB" w:rsidRDefault="001D6CEB" w:rsidP="00BD0EF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CEB" w:rsidRDefault="001D6CEB" w:rsidP="00BD0EFA">
      <w:pPr>
        <w:spacing w:before="0"/>
      </w:pPr>
      <w:r>
        <w:separator/>
      </w:r>
    </w:p>
  </w:footnote>
  <w:footnote w:type="continuationSeparator" w:id="0">
    <w:p w:rsidR="001D6CEB" w:rsidRDefault="001D6CEB" w:rsidP="00BD0EFA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EFA"/>
    <w:rsid w:val="00006D3D"/>
    <w:rsid w:val="000231BD"/>
    <w:rsid w:val="000D38C0"/>
    <w:rsid w:val="000D6A0C"/>
    <w:rsid w:val="001D6CEB"/>
    <w:rsid w:val="0037236D"/>
    <w:rsid w:val="003E3E13"/>
    <w:rsid w:val="00416E2E"/>
    <w:rsid w:val="00444590"/>
    <w:rsid w:val="00571F78"/>
    <w:rsid w:val="005B5C2B"/>
    <w:rsid w:val="006407AC"/>
    <w:rsid w:val="00763F1F"/>
    <w:rsid w:val="0078011A"/>
    <w:rsid w:val="0081457B"/>
    <w:rsid w:val="00AB6960"/>
    <w:rsid w:val="00AC26BF"/>
    <w:rsid w:val="00B641D0"/>
    <w:rsid w:val="00B721FF"/>
    <w:rsid w:val="00B811FB"/>
    <w:rsid w:val="00BD0EFA"/>
    <w:rsid w:val="00C30BE2"/>
    <w:rsid w:val="00CC633E"/>
    <w:rsid w:val="00D15D5A"/>
    <w:rsid w:val="00DA3719"/>
    <w:rsid w:val="00E1584A"/>
    <w:rsid w:val="00E256AA"/>
    <w:rsid w:val="00EF7927"/>
    <w:rsid w:val="00F94385"/>
    <w:rsid w:val="00FA7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D0EFA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D0EFA"/>
    <w:rPr>
      <w:rFonts w:ascii="Times New Roman" w:hAnsi="Times New Roman"/>
    </w:rPr>
  </w:style>
  <w:style w:type="table" w:styleId="Tabelacomgrelha">
    <w:name w:val="Table Grid"/>
    <w:basedOn w:val="Tabela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F79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dcterms:created xsi:type="dcterms:W3CDTF">2014-02-17T18:45:00Z</dcterms:created>
  <dcterms:modified xsi:type="dcterms:W3CDTF">2014-02-17T18:45:00Z</dcterms:modified>
</cp:coreProperties>
</file>