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41" w:rsidRDefault="003E4A41" w:rsidP="003E4A41">
      <w:pPr>
        <w:pStyle w:val="titulo"/>
        <w:jc w:val="left"/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/>
      </w:tblPr>
      <w:tblGrid>
        <w:gridCol w:w="4219"/>
        <w:gridCol w:w="4961"/>
      </w:tblGrid>
      <w:tr w:rsidR="003E4A41" w:rsidRPr="008B525E">
        <w:tc>
          <w:tcPr>
            <w:tcW w:w="4219" w:type="dxa"/>
            <w:tcBorders>
              <w:right w:val="single" w:sz="2" w:space="0" w:color="auto"/>
            </w:tcBorders>
            <w:shd w:val="clear" w:color="auto" w:fill="808080" w:themeFill="background1" w:themeFillShade="80"/>
            <w:vAlign w:val="center"/>
          </w:tcPr>
          <w:p w:rsidR="003E4A41" w:rsidRPr="003E4A41" w:rsidRDefault="00F447F6" w:rsidP="001F412E">
            <w:pPr>
              <w:rPr>
                <w:b/>
              </w:rPr>
            </w:pPr>
            <w:r>
              <w:rPr>
                <w:b/>
              </w:rPr>
              <w:t xml:space="preserve">FICHA DE AVALIAÇÃO SUMATIVA </w:t>
            </w:r>
            <w:r w:rsidR="001F412E">
              <w:rPr>
                <w:b/>
              </w:rPr>
              <w:t>3</w:t>
            </w:r>
          </w:p>
        </w:tc>
        <w:tc>
          <w:tcPr>
            <w:tcW w:w="4961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3E4A41" w:rsidRPr="008B525E" w:rsidRDefault="003E4A41" w:rsidP="003E4A41">
            <w:pPr>
              <w:pStyle w:val="03-Textobase"/>
              <w:ind w:left="170"/>
            </w:pPr>
          </w:p>
        </w:tc>
      </w:tr>
      <w:tr w:rsidR="003E4A41" w:rsidRPr="00F901A6">
        <w:tc>
          <w:tcPr>
            <w:tcW w:w="9180" w:type="dxa"/>
            <w:gridSpan w:val="2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:rsidR="003E4A41" w:rsidRDefault="003E4A41" w:rsidP="00D36774">
            <w:pPr>
              <w:pStyle w:val="03-Textobase"/>
              <w:spacing w:before="0"/>
              <w:rPr>
                <w:rFonts w:ascii="Arial" w:hAnsi="Arial" w:cs="Arial"/>
                <w:szCs w:val="22"/>
                <w:lang w:val="pt-PT"/>
              </w:rPr>
            </w:pPr>
            <w:r w:rsidRPr="003E4A41">
              <w:rPr>
                <w:rFonts w:ascii="Arial" w:hAnsi="Arial" w:cs="Arial"/>
                <w:szCs w:val="22"/>
                <w:lang w:val="pt-PT"/>
              </w:rPr>
              <w:t xml:space="preserve">Nome:___________________________________________________ N.º______ Turma_____ </w:t>
            </w:r>
          </w:p>
          <w:p w:rsidR="00D36774" w:rsidRPr="00D36774" w:rsidRDefault="003E4A41" w:rsidP="00D36774">
            <w:pPr>
              <w:pStyle w:val="03-Textobase"/>
              <w:spacing w:before="240"/>
              <w:rPr>
                <w:rStyle w:val="02-Bold"/>
              </w:rPr>
            </w:pPr>
            <w:r w:rsidRPr="003E4A41">
              <w:rPr>
                <w:rFonts w:ascii="Arial" w:hAnsi="Arial" w:cs="Arial"/>
                <w:szCs w:val="22"/>
                <w:lang w:val="pt-PT"/>
              </w:rPr>
              <w:t>Data: ____/____/____</w:t>
            </w:r>
            <w:r>
              <w:rPr>
                <w:rFonts w:ascii="Arial" w:hAnsi="Arial" w:cs="Arial"/>
                <w:szCs w:val="22"/>
                <w:lang w:val="pt-PT"/>
              </w:rPr>
              <w:t xml:space="preserve"> Avaliação: 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______________</w:t>
            </w:r>
            <w:r>
              <w:rPr>
                <w:rFonts w:ascii="Arial" w:hAnsi="Arial" w:cs="Arial"/>
                <w:szCs w:val="22"/>
                <w:lang w:val="pt-PT"/>
              </w:rPr>
              <w:t>__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</w:t>
            </w:r>
            <w:r>
              <w:rPr>
                <w:rFonts w:ascii="Arial" w:hAnsi="Arial" w:cs="Arial"/>
                <w:szCs w:val="22"/>
                <w:lang w:val="pt-PT"/>
              </w:rPr>
              <w:t xml:space="preserve"> Professor: 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___________________</w:t>
            </w:r>
          </w:p>
        </w:tc>
      </w:tr>
    </w:tbl>
    <w:p w:rsidR="003E4A41" w:rsidRPr="00B64FC5" w:rsidRDefault="003E4A41" w:rsidP="00B64FC5">
      <w:pPr>
        <w:spacing w:before="60"/>
        <w:rPr>
          <w:rStyle w:val="02-TEXTOBASEBOLD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GRUPO I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Default="00D9206B" w:rsidP="00D9206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D9206B"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inline distT="0" distB="0" distL="0" distR="0">
            <wp:extent cx="4741647" cy="53617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819" cy="53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06B" w:rsidRPr="001F412E" w:rsidRDefault="00D9206B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1.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Faz corresponder a cada uma das afirmações de A a H referentes à morfologia do sistema linfático, um dos números de 1 a 9, da figura 1. </w:t>
      </w:r>
    </w:p>
    <w:p w:rsidR="001F412E" w:rsidRPr="001F412E" w:rsidRDefault="001F412E" w:rsidP="00C87A6A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Chave</w:t>
      </w:r>
    </w:p>
    <w:p w:rsidR="001F412E" w:rsidRPr="001F412E" w:rsidRDefault="001F412E" w:rsidP="00C87A6A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Vaso com sangue venoso.</w:t>
      </w:r>
    </w:p>
    <w:p w:rsidR="001F412E" w:rsidRPr="001F412E" w:rsidRDefault="001F412E" w:rsidP="00C87A6A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Pequenas dilatações localizadas ao longo dos vasos linfáticos.</w:t>
      </w:r>
    </w:p>
    <w:p w:rsidR="00D9206B" w:rsidRDefault="001F412E" w:rsidP="00D9206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Órgão onde os leucócitos adquirem a capacidade de identificar substâncias estranhas ao organismo.</w:t>
      </w:r>
      <w:r w:rsidR="00D9206B">
        <w:rPr>
          <w:rFonts w:cs="Arial"/>
          <w:color w:val="000000"/>
          <w:szCs w:val="22"/>
          <w:lang w:val="pt-BR" w:eastAsia="ja-JP"/>
        </w:rPr>
        <w:br w:type="page"/>
      </w:r>
    </w:p>
    <w:p w:rsidR="001F412E" w:rsidRPr="001F412E" w:rsidRDefault="001F412E" w:rsidP="00C87A6A">
      <w:pPr>
        <w:spacing w:before="80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Vasos com número elevado de válvulas no seu interior.</w:t>
      </w:r>
    </w:p>
    <w:p w:rsidR="001F412E" w:rsidRPr="001F412E" w:rsidRDefault="001F412E" w:rsidP="00C87A6A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(E) </w:t>
      </w:r>
      <w:r w:rsidRPr="001F412E">
        <w:rPr>
          <w:rFonts w:cs="Arial"/>
          <w:color w:val="000000"/>
          <w:szCs w:val="22"/>
          <w:lang w:val="pt-BR" w:eastAsia="ja-JP"/>
        </w:rPr>
        <w:t>Formados por paredes muito finas, que drenam a linfa intersticial.</w:t>
      </w:r>
    </w:p>
    <w:p w:rsidR="001F412E" w:rsidRPr="001F412E" w:rsidRDefault="001F412E" w:rsidP="00C87A6A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(F) </w:t>
      </w:r>
      <w:r w:rsidRPr="001F412E">
        <w:rPr>
          <w:rFonts w:cs="Arial"/>
          <w:color w:val="000000"/>
          <w:szCs w:val="22"/>
          <w:lang w:val="pt-BR" w:eastAsia="ja-JP"/>
        </w:rPr>
        <w:t>Estrutura que impede o refluxo de linfa.</w:t>
      </w:r>
    </w:p>
    <w:p w:rsidR="00C87A6A" w:rsidRDefault="001F412E" w:rsidP="00C87A6A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(G) </w:t>
      </w:r>
      <w:r w:rsidRPr="001F412E">
        <w:rPr>
          <w:rFonts w:cs="Arial"/>
          <w:color w:val="000000"/>
          <w:szCs w:val="22"/>
          <w:lang w:val="pt-BR" w:eastAsia="ja-JP"/>
        </w:rPr>
        <w:t>Desempenha um papel fundamental na eliminação de microrganismos contidos nos alimentos ingeridos.</w:t>
      </w:r>
    </w:p>
    <w:p w:rsidR="00D9206B" w:rsidRDefault="00D9206B" w:rsidP="00C87A6A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1F412E" w:rsidRDefault="001F412E" w:rsidP="00C87A6A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2. Indica como se forma a linfa.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3. Refere a diferença entre linfa intersticial e linfa circulante. 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4. Menciona a importância da constante renovação de linfa. 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C87A6A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5.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Na resposta a cada um dos itens 5.1. e 5.2., seleciona a única opção que permite obter uma afirmação correta. 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5.1. A linfa proveniente de todas as partes do corpo é drenada para...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as artérias pulmonar e aorta.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o canal linfático direito e veia subclávia direita.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1F412E">
        <w:rPr>
          <w:rFonts w:cs="Arial"/>
          <w:color w:val="000000"/>
          <w:szCs w:val="22"/>
          <w:lang w:val="pt-BR" w:eastAsia="ja-JP"/>
        </w:rPr>
        <w:t xml:space="preserve"> o canal linfático direito e canal torácico.</w:t>
      </w:r>
    </w:p>
    <w:p w:rsidR="00C87A6A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o canal torácico e veia subclávia esquerda.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5.2. O fluxo da linfa é auxiliado...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pela contração dos vasos linfáticos.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(B)</w:t>
      </w:r>
      <w:r>
        <w:rPr>
          <w:rFonts w:cs="Arial"/>
          <w:color w:val="000000"/>
          <w:szCs w:val="22"/>
          <w:lang w:val="pt-BR" w:eastAsia="ja-JP"/>
        </w:rPr>
        <w:t xml:space="preserve"> </w:t>
      </w:r>
      <w:r w:rsidRPr="001F412E">
        <w:rPr>
          <w:rFonts w:cs="Arial"/>
          <w:color w:val="000000"/>
          <w:szCs w:val="22"/>
          <w:lang w:val="pt-BR" w:eastAsia="ja-JP"/>
        </w:rPr>
        <w:t>pela contração dos músculos esqueléticos circunjacentes e pelas válvulas existentes nos vasos linfáticos.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pela contração dos músculos esqueléticos circunjacentes e pelas válvulas existentes nos capilares sanguíneos.</w:t>
      </w: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 xml:space="preserve">pelas contrações do coração. </w:t>
      </w: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GRUPO II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O transplante de pulmão pode beneficiar indivíduos com graves problemas pulmonares. Neste tipo de transplante é retirado um pulmão ou os dois do dador e transplantado num doente pulmonar. O pulmão é o primeiro órgão a deteriorar-se; muitas vezes, o dador precisa de um suporte respiratório para garantir a qualidade do órgão. Também, em caso de acidente, os pulmões na maioria das vezes ficam comprometidos por trauma torácico, inviabilizando o seu transplante.</w:t>
      </w:r>
    </w:p>
    <w:p w:rsidR="001F412E" w:rsidRP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Segundo o cirurgião cardiotorácico do Hospital de Santa Marta e diretor do Programa de Transplantação Torácica, José Fragata, Portugal está prestes a tornar-se autossuficiente em transplantes de pulmão.</w:t>
      </w:r>
    </w:p>
    <w:p w:rsidR="001F412E" w:rsidRP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C87A6A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Em 2014, num hospital no oeste do Japão, realizou-se o transplante de parte do pulmão de uma mãe para o seu filho de dois anos, a primeira operação do género efetuada num paciente tão novo e com um dador vivo.</w:t>
      </w:r>
    </w:p>
    <w:p w:rsidR="001F412E" w:rsidRDefault="00C87A6A" w:rsidP="00C87A6A">
      <w:pPr>
        <w:spacing w:before="0"/>
        <w:rPr>
          <w:rFonts w:cs="Arial"/>
          <w:color w:val="000000"/>
          <w:spacing w:val="-1"/>
          <w:szCs w:val="22"/>
          <w:lang w:val="pt-BR" w:eastAsia="ja-JP"/>
        </w:rPr>
      </w:pPr>
      <w:r>
        <w:rPr>
          <w:rFonts w:cs="Arial"/>
          <w:color w:val="000000"/>
          <w:szCs w:val="22"/>
          <w:lang w:val="pt-BR" w:eastAsia="ja-JP"/>
        </w:rPr>
        <w:br w:type="page"/>
      </w:r>
      <w:r w:rsidR="001F412E" w:rsidRPr="001F412E">
        <w:rPr>
          <w:rFonts w:cs="Arial"/>
          <w:color w:val="000000"/>
          <w:spacing w:val="-1"/>
          <w:szCs w:val="22"/>
          <w:lang w:val="pt-BR" w:eastAsia="ja-JP"/>
        </w:rPr>
        <w:lastRenderedPageBreak/>
        <w:t>Os médicos optaram por dividir o lóbulo médio do pulmão esquerdo da mãe em duas partes, com o volume mínimo necessário para garantir o seu funcionamento, dada a impossibilidade de implantar um órgão adulto, devido ao tamanho excessivo.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 w:val="18"/>
          <w:szCs w:val="18"/>
          <w:lang w:val="pt-PT" w:eastAsia="ja-JP"/>
        </w:rPr>
      </w:pPr>
      <w:r w:rsidRPr="001F412E">
        <w:rPr>
          <w:rFonts w:cs="Arial"/>
          <w:color w:val="000000"/>
          <w:sz w:val="18"/>
          <w:szCs w:val="18"/>
          <w:u w:val="thick"/>
          <w:lang w:val="pt-PT" w:eastAsia="ja-JP"/>
        </w:rPr>
        <w:t xml:space="preserve">http://diariodigital.sapo.pt/ </w:t>
      </w:r>
      <w:r w:rsidRPr="001F412E">
        <w:rPr>
          <w:rFonts w:cs="Arial"/>
          <w:color w:val="000000"/>
          <w:sz w:val="18"/>
          <w:szCs w:val="18"/>
          <w:lang w:val="pt-PT" w:eastAsia="ja-JP"/>
        </w:rPr>
        <w:t>(consultado e adaptado em janeiro de 2015)</w:t>
      </w:r>
    </w:p>
    <w:p w:rsid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A figura 2 representa o sistema respiratório e a figura 3 é uma representação esquemática de um processo de trocas gasosas que ocorre no organismo humano.</w:t>
      </w:r>
    </w:p>
    <w:p w:rsidR="00C87A6A" w:rsidRDefault="00C87A6A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C87A6A" w:rsidRDefault="00D9206B" w:rsidP="00D9206B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center"/>
        <w:textAlignment w:val="center"/>
        <w:rPr>
          <w:rFonts w:cs="Arial"/>
          <w:color w:val="000000"/>
          <w:szCs w:val="22"/>
          <w:lang w:val="pt-BR" w:eastAsia="ja-JP"/>
        </w:rPr>
      </w:pPr>
      <w:r w:rsidRPr="00D9206B">
        <w:rPr>
          <w:rFonts w:cs="Arial"/>
          <w:noProof/>
          <w:color w:val="000000"/>
          <w:szCs w:val="22"/>
          <w:lang w:val="pt-PT" w:eastAsia="pt-PT"/>
        </w:rPr>
        <w:drawing>
          <wp:inline distT="0" distB="0" distL="0" distR="0">
            <wp:extent cx="5212188" cy="320144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758" cy="3214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06B" w:rsidRDefault="00D9206B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1.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Faz corresponder a cada uma das afirmações de A a H referentes à morfologia do sistema respiratório, um dos números de 1 a 9, da figura 2. 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Membrana que reveste e protege os pulmões.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Órgão onde se produzem sons.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Cavidades que comunicam com o exterior.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Canais formados por anéis cartilagíneos completos revestidos por uma membrana mucosa com células secretoras e ciliadas.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(E) </w:t>
      </w:r>
      <w:r w:rsidRPr="001F412E">
        <w:rPr>
          <w:rFonts w:cs="Arial"/>
          <w:color w:val="000000"/>
          <w:szCs w:val="22"/>
          <w:lang w:val="pt-BR" w:eastAsia="ja-JP"/>
        </w:rPr>
        <w:t>Músculo que separa a cavidade abdominal da cavidade torácica.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(F) </w:t>
      </w:r>
      <w:r w:rsidRPr="001F412E">
        <w:rPr>
          <w:rFonts w:cs="Arial"/>
          <w:color w:val="000000"/>
          <w:szCs w:val="22"/>
          <w:lang w:val="pt-BR" w:eastAsia="ja-JP"/>
        </w:rPr>
        <w:t>Tubo muscular que comunica com a laringe.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(G) </w:t>
      </w:r>
      <w:r w:rsidRPr="001F412E">
        <w:rPr>
          <w:rFonts w:cs="Arial"/>
          <w:color w:val="000000"/>
          <w:szCs w:val="22"/>
          <w:lang w:val="pt-BR" w:eastAsia="ja-JP"/>
        </w:rPr>
        <w:t>Órgãos elásticos e esponjosos.</w:t>
      </w: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(H) </w:t>
      </w:r>
      <w:r w:rsidRPr="001F412E">
        <w:rPr>
          <w:rFonts w:cs="Arial"/>
          <w:color w:val="000000"/>
          <w:szCs w:val="22"/>
          <w:lang w:val="pt-BR" w:eastAsia="ja-JP"/>
        </w:rPr>
        <w:t>Tubos que apresentam nas suas extremidades dilatações.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2.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Na resposta a cada um dos itens de 2.1 a 2.6, seleciona a única opção que permite obter uma afirmação correta. </w:t>
      </w:r>
    </w:p>
    <w:p w:rsidR="001F412E" w:rsidRPr="001F412E" w:rsidRDefault="001F412E" w:rsidP="00C87A6A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C87A6A">
        <w:rPr>
          <w:rFonts w:cs="Arial"/>
          <w:b/>
          <w:color w:val="000000"/>
          <w:szCs w:val="22"/>
          <w:lang w:val="pt-BR" w:eastAsia="ja-JP"/>
        </w:rPr>
        <w:t>2.1.</w:t>
      </w:r>
      <w:r w:rsidRPr="001F412E">
        <w:rPr>
          <w:rFonts w:cs="Arial"/>
          <w:color w:val="000000"/>
          <w:szCs w:val="22"/>
          <w:lang w:val="pt-BR" w:eastAsia="ja-JP"/>
        </w:rPr>
        <w:t xml:space="preserve">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>Os órgãos que constituem as vias respiratórias são...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fossas nasais, faringe, esófago, traqueia, brônquios e pulmões.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boca, fossas nasais, faringe, traqueia, bronquíolos e pulmões.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fossas nasais, boca, faringe, laringe, traqueia e brônquios.</w:t>
      </w:r>
    </w:p>
    <w:p w:rsidR="00C87A6A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fossas nasais, faringe, laringe, traqueia, brônquios e bronquíolos.</w:t>
      </w:r>
    </w:p>
    <w:p w:rsidR="001F412E" w:rsidRPr="001F412E" w:rsidRDefault="00C87A6A" w:rsidP="00C87A6A">
      <w:pPr>
        <w:spacing w:before="0"/>
        <w:rPr>
          <w:rFonts w:cs="Arial"/>
          <w:color w:val="000000"/>
          <w:szCs w:val="22"/>
          <w:lang w:val="pt-BR" w:eastAsia="ja-JP"/>
        </w:rPr>
      </w:pPr>
      <w:r>
        <w:rPr>
          <w:rFonts w:cs="Arial"/>
          <w:color w:val="000000"/>
          <w:szCs w:val="22"/>
          <w:lang w:val="pt-BR" w:eastAsia="ja-JP"/>
        </w:rPr>
        <w:br w:type="page"/>
      </w:r>
      <w:r w:rsidR="001F412E"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2.2. </w:t>
      </w:r>
      <w:r w:rsidR="001F412E" w:rsidRPr="001F412E">
        <w:rPr>
          <w:rFonts w:cs="Arial"/>
          <w:b/>
          <w:bCs/>
          <w:color w:val="000000"/>
          <w:szCs w:val="22"/>
          <w:lang w:val="pt-BR" w:eastAsia="ja-JP"/>
        </w:rPr>
        <w:t>A pleura é uma dupla membrana constituída por dois folhetos, o folheto externo, _______________, e o folheto interno, _______________, que permite que os pulmões acompanhem _______________ o movimento da caixa torácica.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visceral (...) parietal (...) passivamente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parietal (...) visceral (...) passivamente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1F412E">
        <w:rPr>
          <w:rFonts w:cs="Arial"/>
          <w:color w:val="000000"/>
          <w:szCs w:val="22"/>
          <w:lang w:val="pt-BR" w:eastAsia="ja-JP"/>
        </w:rPr>
        <w:t xml:space="preserve"> visceral (...) parietal (...) ativamente</w:t>
      </w:r>
    </w:p>
    <w:p w:rsid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parietal (...) visceral (...) ativamente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2.3. Na figura 3 está representada a...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respiração externa.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(B)</w:t>
      </w:r>
      <w:r w:rsidRPr="001F412E">
        <w:rPr>
          <w:rFonts w:cs="Arial"/>
          <w:color w:val="000000"/>
          <w:szCs w:val="22"/>
          <w:lang w:val="pt-BR" w:eastAsia="ja-JP"/>
        </w:rPr>
        <w:t xml:space="preserve"> respiração celular.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ventilação pulmonar.</w:t>
      </w:r>
    </w:p>
    <w:p w:rsid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respiração interna.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2.4. As letras A, B, C e D da figura 3 correspondem, respetivamente, a...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capilares pulmonares, células, oxigénio e dióxido de carbono.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capilares pulmonares, alvéolos pulmonares, dióxido de carbono e oxigénio.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capilares sistémicos, células, oxigénio e dióxido de carbono.</w:t>
      </w:r>
    </w:p>
    <w:p w:rsid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capilares sistémicos, alvéolos pulmonares, dióxido de carbono e oxigénio.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2.5.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>O processo através do qual as células do organismo utilizam oxigénio para produzir energia designa-se...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respiração externa.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ventilação pulmonar.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respiração interna.</w:t>
      </w:r>
    </w:p>
    <w:p w:rsid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respiração celular.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2.6. Na hematose pulmonar,...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a pressão parcial de oxigénio é elevada nos alvéolos pulmonares.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a pressão parcial de oxigénio é elevada nos capilares pulmonares.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a pressão parcial de dióxido de carbono é elevada nos alvéolos pulmonares.</w:t>
      </w:r>
    </w:p>
    <w:p w:rsid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a pressão parcial de dióxido de carbono é baixa nos capilares pulmonares.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C87A6A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3.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Indica as características que contribuem para a grande eficácia dos alvéolos pulmonares nas trocas gasosas. 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C87A6A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4.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>Refere a importância fisiológica da diferença de valores existente, ao nível pulmonar, entre a pressão de oxigénio no ar alveolar e a pressão de oxigénio no sangue venoso.</w:t>
      </w:r>
    </w:p>
    <w:p w:rsidR="001F412E" w:rsidRPr="001F412E" w:rsidRDefault="00C87A6A" w:rsidP="00B838EC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br w:type="page"/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after="24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5.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>Faz corresponder a cada uma das afirmações referentes aos movimentos respiratórios, expressas na coluna B, a respetiva designação que consta da coluna A.</w:t>
      </w:r>
    </w:p>
    <w:tbl>
      <w:tblPr>
        <w:tblStyle w:val="Tabelacomgrelha"/>
        <w:tblW w:w="0" w:type="auto"/>
        <w:tblInd w:w="108" w:type="dxa"/>
        <w:tblLayout w:type="fixed"/>
        <w:tblLook w:val="0000"/>
      </w:tblPr>
      <w:tblGrid>
        <w:gridCol w:w="2154"/>
        <w:gridCol w:w="6306"/>
      </w:tblGrid>
      <w:tr w:rsidR="001F412E" w:rsidRPr="001F412E" w:rsidTr="00D9206B">
        <w:trPr>
          <w:trHeight w:hRule="exact" w:val="341"/>
        </w:trPr>
        <w:tc>
          <w:tcPr>
            <w:tcW w:w="2154" w:type="dxa"/>
            <w:shd w:val="clear" w:color="auto" w:fill="BFBFBF" w:themeFill="background1" w:themeFillShade="BF"/>
            <w:vAlign w:val="center"/>
          </w:tcPr>
          <w:p w:rsidR="001F412E" w:rsidRPr="001F412E" w:rsidRDefault="001F412E" w:rsidP="00D9206B">
            <w:pPr>
              <w:pStyle w:val="titulo"/>
              <w:jc w:val="left"/>
              <w:rPr>
                <w:sz w:val="18"/>
                <w:szCs w:val="18"/>
              </w:rPr>
            </w:pPr>
            <w:r w:rsidRPr="001F412E">
              <w:rPr>
                <w:sz w:val="18"/>
                <w:szCs w:val="18"/>
              </w:rPr>
              <w:t>COLUNA A</w:t>
            </w:r>
          </w:p>
        </w:tc>
        <w:tc>
          <w:tcPr>
            <w:tcW w:w="6306" w:type="dxa"/>
            <w:shd w:val="clear" w:color="auto" w:fill="BFBFBF" w:themeFill="background1" w:themeFillShade="BF"/>
            <w:vAlign w:val="center"/>
          </w:tcPr>
          <w:p w:rsidR="001F412E" w:rsidRPr="001F412E" w:rsidRDefault="001F412E" w:rsidP="00D9206B">
            <w:pPr>
              <w:pStyle w:val="titulo"/>
              <w:jc w:val="left"/>
              <w:rPr>
                <w:sz w:val="18"/>
                <w:szCs w:val="18"/>
              </w:rPr>
            </w:pPr>
            <w:r w:rsidRPr="001F412E">
              <w:rPr>
                <w:sz w:val="18"/>
                <w:szCs w:val="18"/>
              </w:rPr>
              <w:t>COLUNA B</w:t>
            </w:r>
          </w:p>
        </w:tc>
      </w:tr>
      <w:tr w:rsidR="001F412E" w:rsidRPr="001F412E" w:rsidTr="00D9206B">
        <w:trPr>
          <w:trHeight w:hRule="exact" w:val="3015"/>
        </w:trPr>
        <w:tc>
          <w:tcPr>
            <w:tcW w:w="2154" w:type="dxa"/>
            <w:vAlign w:val="center"/>
          </w:tcPr>
          <w:p w:rsidR="001F412E" w:rsidRPr="001F412E" w:rsidRDefault="001F412E" w:rsidP="00D9206B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120" w:line="220" w:lineRule="atLeast"/>
              <w:textAlignment w:val="center"/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A.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Inspiração</w:t>
            </w:r>
          </w:p>
          <w:p w:rsidR="001F412E" w:rsidRPr="001F412E" w:rsidRDefault="001F412E" w:rsidP="00D9206B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12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B.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Expiração</w:t>
            </w:r>
          </w:p>
        </w:tc>
        <w:tc>
          <w:tcPr>
            <w:tcW w:w="6306" w:type="dxa"/>
            <w:vAlign w:val="center"/>
          </w:tcPr>
          <w:p w:rsidR="001F412E" w:rsidRPr="001F412E" w:rsidRDefault="001F412E" w:rsidP="00D9206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I.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Fase ativa.</w:t>
            </w:r>
          </w:p>
          <w:p w:rsidR="001F412E" w:rsidRPr="001F412E" w:rsidRDefault="001F412E" w:rsidP="00D9206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II.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Relaxamento dos músculos intercostais e do diafragma.</w:t>
            </w:r>
          </w:p>
          <w:p w:rsidR="001F412E" w:rsidRPr="001F412E" w:rsidRDefault="001F412E" w:rsidP="00D9206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III.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Contração do diafragma e dos músculos intercostais.</w:t>
            </w:r>
          </w:p>
          <w:p w:rsidR="001F412E" w:rsidRPr="001F412E" w:rsidRDefault="001F412E" w:rsidP="00D9206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IV.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Os pulmões diminuem de volume.</w:t>
            </w:r>
          </w:p>
          <w:p w:rsidR="001F412E" w:rsidRPr="001F412E" w:rsidRDefault="001F412E" w:rsidP="00D9206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V.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Os pulmões aumentam de volume.</w:t>
            </w:r>
          </w:p>
          <w:p w:rsidR="001F412E" w:rsidRPr="001F412E" w:rsidRDefault="001F412E" w:rsidP="00D9206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VI.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O volume da caixa torácica aumenta.</w:t>
            </w:r>
          </w:p>
          <w:p w:rsidR="001F412E" w:rsidRPr="001F412E" w:rsidRDefault="001F412E" w:rsidP="00D9206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VII.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A pressão intrapulmonar aumenta.</w:t>
            </w:r>
          </w:p>
          <w:p w:rsidR="001F412E" w:rsidRPr="001F412E" w:rsidRDefault="001F412E" w:rsidP="00D9206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VIII.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O ar entra para os pulmões.</w:t>
            </w:r>
          </w:p>
          <w:p w:rsidR="001F412E" w:rsidRPr="001F412E" w:rsidRDefault="001F412E" w:rsidP="00D9206B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Cs w:val="22"/>
                <w:lang w:val="pt-PT" w:eastAsia="ja-JP"/>
              </w:rPr>
            </w:pPr>
            <w:r w:rsidRPr="001F412E">
              <w:rPr>
                <w:rFonts w:cs="Arial"/>
                <w:b/>
                <w:bCs/>
                <w:color w:val="000000"/>
                <w:szCs w:val="22"/>
                <w:lang w:val="pt-PT" w:eastAsia="ja-JP"/>
              </w:rPr>
              <w:t xml:space="preserve">IX. </w:t>
            </w:r>
            <w:r w:rsidRPr="001F412E">
              <w:rPr>
                <w:rFonts w:cs="Arial"/>
                <w:color w:val="000000"/>
                <w:szCs w:val="22"/>
                <w:lang w:val="pt-PT" w:eastAsia="ja-JP"/>
              </w:rPr>
              <w:t>Fase passiva.</w:t>
            </w:r>
          </w:p>
        </w:tc>
      </w:tr>
    </w:tbl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ind w:left="454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6. Seleciona a(s) opção(ões) correta(s) para a seguinte afirmação. 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A grandes altitudes a pressão atmosférica é mais baixa, verificando-se, por isso, uma menor tensão de oxigénio; no entanto, o organismo humano adapta-se...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aumentando a frequência dos movimentos respiratórios.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aumentando o número total de hemácias.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diminuindo a frequência dos movimentos respiratórios.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aumentando a concentração de hemoglobina.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(E) </w:t>
      </w:r>
      <w:r w:rsidRPr="001F412E">
        <w:rPr>
          <w:rFonts w:cs="Arial"/>
          <w:color w:val="000000"/>
          <w:szCs w:val="22"/>
          <w:lang w:val="pt-BR" w:eastAsia="ja-JP"/>
        </w:rPr>
        <w:t>diminuindo a frequência cardíaca.</w:t>
      </w:r>
    </w:p>
    <w:p w:rsidR="00B838EC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(F) </w:t>
      </w:r>
      <w:r w:rsidRPr="001F412E">
        <w:rPr>
          <w:rFonts w:cs="Arial"/>
          <w:color w:val="000000"/>
          <w:szCs w:val="22"/>
          <w:lang w:val="pt-BR" w:eastAsia="ja-JP"/>
        </w:rPr>
        <w:t>aumentando o número de leucócitos.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7.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>Explicita a importância dos transplantes de pulmão na minimização de desequilíbrios do sistema respiratório.</w:t>
      </w: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Grupo III</w:t>
      </w:r>
    </w:p>
    <w:p w:rsidR="00B838EC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Documento 1</w:t>
      </w:r>
    </w:p>
    <w:p w:rsidR="001F412E" w:rsidRP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Suporte Básico de Vida Pediátrico em Faro</w:t>
      </w:r>
    </w:p>
    <w:p w:rsidR="001F412E" w:rsidRP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O Centro Hospitalar do Algarve e a Secção Regional Sul da Ordem dos Enfermeiros promovem mais uma edição do Curso de Suporte Básico de Vida (SBV) Pediátrico, que arrancou no dia 2 de agosto de 2014.</w:t>
      </w:r>
    </w:p>
    <w:p w:rsidR="001F412E" w:rsidRPr="001F412E" w:rsidRDefault="001F412E" w:rsidP="00B838E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Os interessados poderão inscrever-se para os próximos cursos, a ter lugar numa das salas de formação do Hospital de Faro, entre as 9 horas e as 17 horas.</w:t>
      </w:r>
    </w:p>
    <w:p w:rsidR="001F412E" w:rsidRPr="001F412E" w:rsidRDefault="001F412E" w:rsidP="00B838E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À semelhança das edições dos anos anteriores, o curso é direcionado para pais e educadores de crianças até aos 8 anos e tem como objetivo dotá-los de conhecimentos para intervirem em caso de afogamento.</w:t>
      </w:r>
    </w:p>
    <w:p w:rsidR="001F412E" w:rsidRPr="001F412E" w:rsidRDefault="001F412E" w:rsidP="00B838E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0" w:line="300" w:lineRule="atLeast"/>
        <w:ind w:firstLine="283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De acordo com a UNICEF, o afogamento continua a ser, em Portugal, a segunda causa de morte entre as crianças até aos 5 anos de idade, sendo apenas ultrapassada pelos acidentes de viação.</w:t>
      </w:r>
    </w:p>
    <w:p w:rsidR="00B838EC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 w:val="18"/>
          <w:szCs w:val="18"/>
          <w:lang w:val="pt-PT" w:eastAsia="ja-JP"/>
        </w:rPr>
      </w:pPr>
      <w:r w:rsidRPr="001F412E">
        <w:rPr>
          <w:rFonts w:cs="Arial"/>
          <w:color w:val="000000"/>
          <w:sz w:val="18"/>
          <w:szCs w:val="18"/>
          <w:u w:val="thick"/>
          <w:lang w:val="pt-PT" w:eastAsia="ja-JP"/>
        </w:rPr>
        <w:t>http://www.portaldasaude.pt/</w:t>
      </w:r>
      <w:r w:rsidRPr="001F412E">
        <w:rPr>
          <w:rFonts w:cs="Arial"/>
          <w:color w:val="000000"/>
          <w:sz w:val="18"/>
          <w:szCs w:val="18"/>
          <w:lang w:val="pt-PT" w:eastAsia="ja-JP"/>
        </w:rPr>
        <w:t xml:space="preserve"> (agosto de 2014)</w:t>
      </w:r>
    </w:p>
    <w:p w:rsidR="001F412E" w:rsidRPr="001F412E" w:rsidRDefault="00B838EC" w:rsidP="00B838EC">
      <w:pPr>
        <w:spacing w:before="0"/>
        <w:rPr>
          <w:rFonts w:cs="Arial"/>
          <w:color w:val="000000"/>
          <w:szCs w:val="22"/>
          <w:lang w:val="pt-BR" w:eastAsia="ja-JP"/>
        </w:rPr>
      </w:pPr>
      <w:r>
        <w:rPr>
          <w:rFonts w:cs="Arial"/>
          <w:color w:val="000000"/>
          <w:sz w:val="18"/>
          <w:szCs w:val="18"/>
          <w:lang w:val="pt-PT" w:eastAsia="ja-JP"/>
        </w:rPr>
        <w:br w:type="page"/>
      </w:r>
      <w:r w:rsidR="001F412E" w:rsidRPr="001F412E">
        <w:rPr>
          <w:rFonts w:cs="Arial"/>
          <w:b/>
          <w:bCs/>
          <w:color w:val="000000"/>
          <w:szCs w:val="22"/>
          <w:lang w:val="pt-BR" w:eastAsia="ja-JP"/>
        </w:rPr>
        <w:lastRenderedPageBreak/>
        <w:t>Documento 2</w:t>
      </w:r>
    </w:p>
    <w:p w:rsidR="001F412E" w:rsidRP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Orientação DGS n.º 001/2010 </w:t>
      </w:r>
    </w:p>
    <w:p w:rsidR="00B838EC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O sistema de retenção para crianças (SRC) deve ser adquirido antes do nascimento. Os recém-nascidos (RN) e as crianças têm de ser sempre transportados num dispositivo de retenção homologado, e adequado à idade, altura e peso, de modo a proporcionar as condições necessárias a uma viagem de automóvel segura. O uso de um sistema de retenção homologado é obrigatório até aos 12 anos de idade e 150 cm de altura, de acordo com o Código da Estrada em vigor. A partir desta altura, a criança já pode utilizar apenas o cinto de segurança do automóvel.</w:t>
      </w:r>
    </w:p>
    <w:p w:rsidR="001F412E" w:rsidRP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 w:val="18"/>
          <w:szCs w:val="18"/>
          <w:lang w:val="pt-PT" w:eastAsia="ja-JP"/>
        </w:rPr>
      </w:pPr>
      <w:r w:rsidRPr="001F412E">
        <w:rPr>
          <w:rFonts w:cs="Arial"/>
          <w:color w:val="000000"/>
          <w:sz w:val="18"/>
          <w:szCs w:val="18"/>
          <w:u w:val="thick"/>
          <w:lang w:val="pt-PT" w:eastAsia="ja-JP"/>
        </w:rPr>
        <w:t>http://www.dgs.pt/</w:t>
      </w:r>
      <w:r w:rsidRPr="001F412E">
        <w:rPr>
          <w:rFonts w:cs="Arial"/>
          <w:color w:val="000000"/>
          <w:sz w:val="18"/>
          <w:szCs w:val="18"/>
          <w:lang w:val="pt-PT" w:eastAsia="ja-JP"/>
        </w:rPr>
        <w:t xml:space="preserve"> (agosto de 2014)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Cs w:val="22"/>
          <w:lang w:val="pt-PT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A figura 4 refere-se à prestação de socorro em situação de emergência.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Cs w:val="22"/>
          <w:lang w:val="pt-PT" w:eastAsia="ja-JP"/>
        </w:rPr>
      </w:pPr>
    </w:p>
    <w:p w:rsidR="001F412E" w:rsidRDefault="00D9206B" w:rsidP="00D9206B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center"/>
        <w:textAlignment w:val="center"/>
        <w:rPr>
          <w:rFonts w:cs="Arial"/>
          <w:color w:val="000000"/>
          <w:szCs w:val="22"/>
          <w:lang w:val="pt-PT" w:eastAsia="ja-JP"/>
        </w:rPr>
      </w:pPr>
      <w:r w:rsidRPr="00D9206B">
        <w:rPr>
          <w:rFonts w:cs="Arial"/>
          <w:noProof/>
          <w:color w:val="000000"/>
          <w:szCs w:val="22"/>
          <w:lang w:val="pt-PT" w:eastAsia="pt-PT"/>
        </w:rPr>
        <w:drawing>
          <wp:inline distT="0" distB="0" distL="0" distR="0">
            <wp:extent cx="5702300" cy="225996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06B" w:rsidRPr="001F412E" w:rsidRDefault="00D9206B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Cs w:val="22"/>
          <w:lang w:val="pt-PT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Figura 4</w:t>
      </w:r>
    </w:p>
    <w:p w:rsidR="00B838EC" w:rsidRDefault="00B838EC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Seleciona a opção que completa corretamente as afirmações de 1 a 4.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1. A figura 4 representa…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a cadeia de sobrevivência.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as fases do SIEM.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manobras de reanimação de SBV e SBV pediátrico.</w:t>
      </w: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manobras de reanimação de SBV e SBV adulto.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2. O 2.º elo da cadeia representada na figura 1 ilustra…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a prevenção.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o alerta.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o SBV.</w:t>
      </w:r>
    </w:p>
    <w:p w:rsidR="00B838EC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o SAV.</w:t>
      </w:r>
    </w:p>
    <w:p w:rsidR="001F412E" w:rsidRPr="001F412E" w:rsidRDefault="00B838EC" w:rsidP="00B838EC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color w:val="000000"/>
          <w:szCs w:val="22"/>
          <w:lang w:val="pt-BR" w:eastAsia="ja-JP"/>
        </w:rPr>
        <w:br w:type="page"/>
      </w:r>
      <w:r w:rsidR="001F412E" w:rsidRPr="001F412E">
        <w:rPr>
          <w:rFonts w:cs="Arial"/>
          <w:b/>
          <w:bCs/>
          <w:color w:val="000000"/>
          <w:szCs w:val="22"/>
          <w:lang w:val="pt-BR" w:eastAsia="ja-JP"/>
        </w:rPr>
        <w:lastRenderedPageBreak/>
        <w:t>3. Segundo o Conselho Português de Ressuscitação, o curso de SBV deve ser frequentado…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por todos os funcionários do Ministério da Saúde.</w:t>
      </w:r>
      <w:bookmarkStart w:id="0" w:name="_GoBack"/>
      <w:bookmarkEnd w:id="0"/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pelos estudantes de cursos ligados à área da saúde.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pelas pessoas que têm a seu cargo crianças ou idosos.</w:t>
      </w:r>
    </w:p>
    <w:p w:rsid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por todos os cidadãos.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4. Seleciona a alternativa que permite preencher corretamente os espaços da afirmação.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color w:val="000000"/>
          <w:szCs w:val="22"/>
          <w:lang w:val="pt-BR" w:eastAsia="ja-JP"/>
        </w:rPr>
        <w:t>No curso de SBV do Hospital de Faro, salientar-se-á a importância da __________________ como __________________ da __________________.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prevenção (…) 1.º elo  (…) cadeia de sobrevivência no adulto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comunicação (…) 1.º elo (…) cadeia de sobrevivência no adulto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1F412E">
        <w:rPr>
          <w:rFonts w:cs="Arial"/>
          <w:color w:val="000000"/>
          <w:szCs w:val="22"/>
          <w:lang w:val="pt-BR" w:eastAsia="ja-JP"/>
        </w:rPr>
        <w:t xml:space="preserve"> prevenção (…) 1.º elo (…) cadeia de sobrevivência pediátrica</w:t>
      </w:r>
    </w:p>
    <w:p w:rsid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1F412E">
        <w:rPr>
          <w:rFonts w:cs="Arial"/>
          <w:color w:val="000000"/>
          <w:szCs w:val="22"/>
          <w:lang w:val="pt-BR" w:eastAsia="ja-JP"/>
        </w:rPr>
        <w:t xml:space="preserve"> comunicação (…) 1.º elo (…) cadeia de sobrevivência pediátrica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5.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>As afirmações que se seguem dizem respeito à informação contida nos documentos 1 e 2.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Seleciona a alternativa que as avalia corretamente.</w:t>
      </w: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1. </w:t>
      </w:r>
      <w:r w:rsidRPr="001F412E">
        <w:rPr>
          <w:rFonts w:cs="Arial"/>
          <w:color w:val="000000"/>
          <w:szCs w:val="22"/>
          <w:lang w:val="pt-BR" w:eastAsia="ja-JP"/>
        </w:rPr>
        <w:t>A utilização de cinto de segurança do automóvel, em crianças com menos de 150 cm de altura, é um meio de prevenção legal e eficaz.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2. </w:t>
      </w:r>
      <w:r w:rsidRPr="001F412E">
        <w:rPr>
          <w:rFonts w:cs="Arial"/>
          <w:color w:val="000000"/>
          <w:szCs w:val="22"/>
          <w:lang w:val="pt-BR" w:eastAsia="ja-JP"/>
        </w:rPr>
        <w:t>Em Portugal, a implementação de medidas de prevenção, onde se inclui a correta utilização de cintos de segurança, vai diminuir a taxa de mortalidade nas crianças.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3.</w:t>
      </w:r>
      <w:r w:rsidRPr="001F412E">
        <w:rPr>
          <w:rFonts w:cs="Arial"/>
          <w:color w:val="000000"/>
          <w:szCs w:val="22"/>
          <w:lang w:val="pt-BR" w:eastAsia="ja-JP"/>
        </w:rPr>
        <w:t xml:space="preserve"> As orientações que constam do documento 2 têm em conta os dados da </w:t>
      </w:r>
      <w:r w:rsidRPr="001F412E">
        <w:rPr>
          <w:rFonts w:cs="Arial"/>
          <w:caps/>
          <w:color w:val="000000"/>
          <w:szCs w:val="22"/>
          <w:lang w:val="pt-BR" w:eastAsia="ja-JP"/>
        </w:rPr>
        <w:t>Unicef</w:t>
      </w:r>
      <w:r w:rsidRPr="001F412E">
        <w:rPr>
          <w:rFonts w:cs="Arial"/>
          <w:color w:val="000000"/>
          <w:szCs w:val="22"/>
          <w:lang w:val="pt-BR" w:eastAsia="ja-JP"/>
        </w:rPr>
        <w:t>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1F412E">
        <w:rPr>
          <w:rFonts w:cs="Arial"/>
          <w:color w:val="000000"/>
          <w:szCs w:val="22"/>
          <w:lang w:val="pt-BR" w:eastAsia="ja-JP"/>
        </w:rPr>
        <w:t>3 é verdadeira; 1 e 2 são falsas.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1F412E">
        <w:rPr>
          <w:rFonts w:cs="Arial"/>
          <w:color w:val="000000"/>
          <w:szCs w:val="22"/>
          <w:lang w:val="pt-BR" w:eastAsia="ja-JP"/>
        </w:rPr>
        <w:t>1 e 2 são verdadeiras; 3 é falsa.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1F412E">
        <w:rPr>
          <w:rFonts w:cs="Arial"/>
          <w:color w:val="000000"/>
          <w:szCs w:val="22"/>
          <w:lang w:val="pt-BR" w:eastAsia="ja-JP"/>
        </w:rPr>
        <w:t>2 é verdadeira; 1 e 3 são falsas.</w:t>
      </w:r>
    </w:p>
    <w:p w:rsidR="001F412E" w:rsidRP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1F412E">
        <w:rPr>
          <w:rFonts w:cs="Arial"/>
          <w:color w:val="000000"/>
          <w:szCs w:val="22"/>
          <w:lang w:val="pt-BR" w:eastAsia="ja-JP"/>
        </w:rPr>
        <w:t>1 é verdadeira; 2 e 3 são falsas.</w:t>
      </w:r>
    </w:p>
    <w:p w:rsidR="001F412E" w:rsidRDefault="001F412E" w:rsidP="00B838E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8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 xml:space="preserve">(E) </w:t>
      </w:r>
      <w:r w:rsidRPr="001F412E">
        <w:rPr>
          <w:rFonts w:cs="Arial"/>
          <w:color w:val="000000"/>
          <w:szCs w:val="22"/>
          <w:lang w:val="pt-BR" w:eastAsia="ja-JP"/>
        </w:rPr>
        <w:t>1 e 3 são verdadeiras; 2 é falsa.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6.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>Um dos participantes no curso de SBV do hospital de Faro teve de socorrer uma criança de 2 anos vítima de afogamento que na sequência deste facto entrou em PCR.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1F412E">
        <w:rPr>
          <w:rFonts w:cs="Arial"/>
          <w:b/>
          <w:bCs/>
          <w:color w:val="000000"/>
          <w:szCs w:val="22"/>
          <w:lang w:val="pt-BR" w:eastAsia="ja-JP"/>
        </w:rPr>
        <w:t>6.1. Refere o significado da sigla PCR.</w:t>
      </w: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1F412E" w:rsidRPr="001F412E" w:rsidRDefault="001F412E" w:rsidP="001F412E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6.2. </w:t>
      </w:r>
      <w:r w:rsidRPr="001F412E">
        <w:rPr>
          <w:rFonts w:cs="Arial"/>
          <w:b/>
          <w:bCs/>
          <w:color w:val="000000"/>
          <w:szCs w:val="22"/>
          <w:lang w:val="pt-BR" w:eastAsia="ja-JP"/>
        </w:rPr>
        <w:t>Explica como deve proceder o socorrista nesta situação antes de dar o alerta para o 112, no caso de estar sozinho.</w:t>
      </w:r>
    </w:p>
    <w:sectPr w:rsidR="001F412E" w:rsidRPr="001F412E" w:rsidSect="00BA3E92">
      <w:headerReference w:type="default" r:id="rId11"/>
      <w:footerReference w:type="even" r:id="rId12"/>
      <w:footerReference w:type="default" r:id="rId13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8B6" w:rsidRDefault="003B48B6" w:rsidP="001D2532">
      <w:r>
        <w:separator/>
      </w:r>
    </w:p>
    <w:p w:rsidR="003B48B6" w:rsidRDefault="003B48B6"/>
    <w:p w:rsidR="003B48B6" w:rsidRDefault="003B48B6" w:rsidP="00177A33"/>
  </w:endnote>
  <w:endnote w:type="continuationSeparator" w:id="0">
    <w:p w:rsidR="003B48B6" w:rsidRDefault="003B48B6" w:rsidP="001D2532">
      <w:r>
        <w:continuationSeparator/>
      </w:r>
    </w:p>
    <w:p w:rsidR="003B48B6" w:rsidRDefault="003B48B6"/>
    <w:p w:rsidR="003B48B6" w:rsidRDefault="003B48B6" w:rsidP="00177A3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LTStd-Bold">
    <w:altName w:val="Helvetica LT Std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lk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Default="00370994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7F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47F6" w:rsidRDefault="00370994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7F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47F6" w:rsidRDefault="00F447F6" w:rsidP="00BA3E92">
    <w:pPr>
      <w:pStyle w:val="Rodap"/>
      <w:ind w:right="360"/>
    </w:pPr>
  </w:p>
  <w:p w:rsidR="00F447F6" w:rsidRDefault="00F447F6"/>
  <w:p w:rsidR="00F447F6" w:rsidRDefault="00F447F6" w:rsidP="00177A3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Pr="00177A33" w:rsidRDefault="00370994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7F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1828E9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:rsidR="00F447F6" w:rsidRDefault="00F447F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F447F6" w:rsidRPr="00177A33" w:rsidRDefault="00F447F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="001828E9">
      <w:rPr>
        <w:rFonts w:cs="Arial"/>
        <w:color w:val="7F7F7F"/>
        <w:sz w:val="14"/>
      </w:rPr>
      <w:t>CASA DA AULA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8B6" w:rsidRDefault="003B48B6" w:rsidP="001D2532">
      <w:r>
        <w:separator/>
      </w:r>
    </w:p>
    <w:p w:rsidR="003B48B6" w:rsidRDefault="003B48B6"/>
    <w:p w:rsidR="003B48B6" w:rsidRDefault="003B48B6" w:rsidP="00177A33"/>
  </w:footnote>
  <w:footnote w:type="continuationSeparator" w:id="0">
    <w:p w:rsidR="003B48B6" w:rsidRDefault="003B48B6" w:rsidP="001D2532">
      <w:r>
        <w:continuationSeparator/>
      </w:r>
    </w:p>
    <w:p w:rsidR="003B48B6" w:rsidRDefault="003B48B6"/>
    <w:p w:rsidR="003B48B6" w:rsidRDefault="003B48B6" w:rsidP="00177A3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Pr="00573F44" w:rsidRDefault="00F447F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  <w:lang w:val="pt-PT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  <w:lang w:val="pt-PT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  <w:lang w:val="pt-PT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  <w:lang w:val="pt-PT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  <w:lang w:val="pt-PT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  <w:lang w:val="pt-PT"/>
      </w:rPr>
      <w:t xml:space="preserve"> </w:t>
    </w:r>
    <w:r w:rsidR="00630FC7">
      <w:rPr>
        <w:rFonts w:cs="Arial"/>
        <w:color w:val="231F20"/>
        <w:w w:val="80"/>
        <w:sz w:val="16"/>
        <w:szCs w:val="16"/>
        <w:lang w:val="pt-PT"/>
      </w:rPr>
      <w:t>DESCOBRIR A TERRA</w:t>
    </w:r>
    <w:r w:rsidR="00630FC7" w:rsidRPr="00573F44">
      <w:rPr>
        <w:rFonts w:cs="Arial"/>
        <w:color w:val="231F20"/>
        <w:w w:val="80"/>
        <w:sz w:val="16"/>
        <w:szCs w:val="16"/>
        <w:lang w:val="pt-PT"/>
      </w:rPr>
      <w:t xml:space="preserve"> 9</w:t>
    </w:r>
  </w:p>
  <w:p w:rsidR="00F447F6" w:rsidRPr="00E73948" w:rsidRDefault="00E73948" w:rsidP="00573F44">
    <w:pPr>
      <w:pStyle w:val="01-MATRIZ"/>
      <w:rPr>
        <w:rFonts w:ascii="Arial" w:hAnsi="Arial" w:cs="Arial"/>
      </w:rPr>
    </w:pPr>
    <w:r w:rsidRPr="00E73948">
      <w:rPr>
        <w:rFonts w:ascii="Arial" w:hAnsi="Arial" w:cs="Arial"/>
        <w:color w:val="30302F"/>
      </w:rPr>
      <w:t>SUBDOMÍNIO: ORGANISMO HUMANO EM EQUILÍBRIO</w:t>
    </w:r>
  </w:p>
  <w:p w:rsidR="00F447F6" w:rsidRDefault="00F447F6" w:rsidP="00573F44">
    <w:pPr>
      <w:pStyle w:val="01-MATRIZ"/>
      <w:rPr>
        <w:rFonts w:ascii="Arial" w:hAnsi="Arial" w:cs="Arial"/>
      </w:rPr>
    </w:pPr>
  </w:p>
  <w:p w:rsidR="00F447F6" w:rsidRPr="00E73948" w:rsidRDefault="00F447F6" w:rsidP="00177A33">
    <w:pPr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32486"/>
    <w:rsid w:val="00027977"/>
    <w:rsid w:val="000E2304"/>
    <w:rsid w:val="00132486"/>
    <w:rsid w:val="001455FB"/>
    <w:rsid w:val="00154D7B"/>
    <w:rsid w:val="00177A33"/>
    <w:rsid w:val="001828E9"/>
    <w:rsid w:val="001C11DD"/>
    <w:rsid w:val="001D2532"/>
    <w:rsid w:val="001D2C55"/>
    <w:rsid w:val="001F412E"/>
    <w:rsid w:val="00220CF6"/>
    <w:rsid w:val="00235139"/>
    <w:rsid w:val="00255F15"/>
    <w:rsid w:val="002879D5"/>
    <w:rsid w:val="0032785F"/>
    <w:rsid w:val="00370994"/>
    <w:rsid w:val="003B23BF"/>
    <w:rsid w:val="003B48B6"/>
    <w:rsid w:val="003E4A41"/>
    <w:rsid w:val="00420AD7"/>
    <w:rsid w:val="004519BB"/>
    <w:rsid w:val="004E7476"/>
    <w:rsid w:val="004F3F4E"/>
    <w:rsid w:val="00513020"/>
    <w:rsid w:val="00573F44"/>
    <w:rsid w:val="00575D4E"/>
    <w:rsid w:val="005E2135"/>
    <w:rsid w:val="00630FC7"/>
    <w:rsid w:val="006F1A9E"/>
    <w:rsid w:val="007B1586"/>
    <w:rsid w:val="00827198"/>
    <w:rsid w:val="008943B0"/>
    <w:rsid w:val="00961E79"/>
    <w:rsid w:val="009B545D"/>
    <w:rsid w:val="00A0350C"/>
    <w:rsid w:val="00AC399E"/>
    <w:rsid w:val="00AF7963"/>
    <w:rsid w:val="00B011B0"/>
    <w:rsid w:val="00B64FC5"/>
    <w:rsid w:val="00B70285"/>
    <w:rsid w:val="00B80686"/>
    <w:rsid w:val="00B838EC"/>
    <w:rsid w:val="00B9487C"/>
    <w:rsid w:val="00BA3E92"/>
    <w:rsid w:val="00BB117C"/>
    <w:rsid w:val="00C0261A"/>
    <w:rsid w:val="00C07365"/>
    <w:rsid w:val="00C87A6A"/>
    <w:rsid w:val="00D2739B"/>
    <w:rsid w:val="00D36774"/>
    <w:rsid w:val="00D63202"/>
    <w:rsid w:val="00D9206B"/>
    <w:rsid w:val="00DD510D"/>
    <w:rsid w:val="00E31432"/>
    <w:rsid w:val="00E73948"/>
    <w:rsid w:val="00EF1EA0"/>
    <w:rsid w:val="00F447F6"/>
    <w:rsid w:val="00F901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sz w:val="24"/>
      <w:szCs w:val="24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Figuranr">
    <w:name w:val="Figura_nr"/>
    <w:basedOn w:val="NoParagraphStyle"/>
    <w:uiPriority w:val="99"/>
    <w:rsid w:val="001F412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Bold" w:hAnsi="HelveticaLTStd-Bold" w:cs="HelveticaLTStd-Bold"/>
      <w:b/>
      <w:bCs/>
      <w:sz w:val="18"/>
      <w:szCs w:val="18"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BE0DA1-73EE-4FE1-A0DD-44C63B069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1676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Areal Editores</Company>
  <LinksUpToDate>false</LinksUpToDate>
  <CharactersWithSpaces>10707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Carlos</cp:lastModifiedBy>
  <cp:revision>32</cp:revision>
  <cp:lastPrinted>2017-03-15T15:21:00Z</cp:lastPrinted>
  <dcterms:created xsi:type="dcterms:W3CDTF">2015-04-08T09:09:00Z</dcterms:created>
  <dcterms:modified xsi:type="dcterms:W3CDTF">2017-03-15T16:40:00Z</dcterms:modified>
</cp:coreProperties>
</file>