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F672E5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1</w:t>
                            </w:r>
                            <w:r w:rsidR="00FA32FB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F672E5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1</w:t>
                      </w:r>
                      <w:r w:rsidR="00FA32FB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2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711405" w:rsidRDefault="00BC1F9F" w:rsidP="00BC1F9F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BC1F9F">
        <w:rPr>
          <w:rFonts w:cs="Arial"/>
          <w:u w:val="none"/>
        </w:rPr>
        <w:t xml:space="preserve">Relativamente aos óxidos formados a partir da reação com metais e não metais, podemos afirmar </w:t>
      </w:r>
      <w:proofErr w:type="gramStart"/>
      <w:r w:rsidRPr="00BC1F9F">
        <w:rPr>
          <w:rFonts w:cs="Arial"/>
          <w:u w:val="none"/>
        </w:rPr>
        <w:t>que</w:t>
      </w:r>
      <w:proofErr w:type="gramEnd"/>
    </w:p>
    <w:p w:rsidR="00BC1F9F" w:rsidRPr="00BC1F9F" w:rsidRDefault="00BC1F9F" w:rsidP="00BC1F9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C1F9F">
        <w:rPr>
          <w:rFonts w:cs="Arial"/>
          <w:u w:val="none"/>
        </w:rPr>
        <w:t>os</w:t>
      </w:r>
      <w:proofErr w:type="gramEnd"/>
      <w:r w:rsidRPr="00BC1F9F">
        <w:rPr>
          <w:rFonts w:cs="Arial"/>
          <w:u w:val="none"/>
        </w:rPr>
        <w:t xml:space="preserve"> óxidos dos metais originam soluções básicas ou alcalinas.</w:t>
      </w:r>
    </w:p>
    <w:p w:rsidR="00BC1F9F" w:rsidRPr="00BC1F9F" w:rsidRDefault="00BC1F9F" w:rsidP="00BC1F9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>
        <w:rPr>
          <w:rFonts w:cs="Arial"/>
          <w:u w:val="none"/>
        </w:rPr>
        <w:t>os</w:t>
      </w:r>
      <w:proofErr w:type="gramEnd"/>
      <w:r w:rsidRPr="00BC1F9F">
        <w:rPr>
          <w:rFonts w:cs="Arial"/>
          <w:u w:val="none"/>
        </w:rPr>
        <w:t xml:space="preserve"> óxidos dos não metais podem originar soluções aquosas ácidas ou neutras.</w:t>
      </w:r>
    </w:p>
    <w:p w:rsidR="00BC1F9F" w:rsidRPr="00BC1F9F" w:rsidRDefault="00BC1F9F" w:rsidP="00BC1F9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C1F9F">
        <w:rPr>
          <w:rFonts w:cs="Arial"/>
          <w:u w:val="none"/>
        </w:rPr>
        <w:t>os</w:t>
      </w:r>
      <w:proofErr w:type="gramEnd"/>
      <w:r w:rsidRPr="00BC1F9F">
        <w:rPr>
          <w:rFonts w:cs="Arial"/>
          <w:u w:val="none"/>
        </w:rPr>
        <w:t xml:space="preserve"> óxidos dos metais podem originar soluções aquosas ácidas.</w:t>
      </w:r>
    </w:p>
    <w:p w:rsidR="00711405" w:rsidRPr="00711405" w:rsidRDefault="00BC1F9F" w:rsidP="00BC1F9F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BC1F9F">
        <w:rPr>
          <w:rFonts w:cs="Arial"/>
          <w:u w:val="none"/>
        </w:rPr>
        <w:t>os</w:t>
      </w:r>
      <w:proofErr w:type="gramEnd"/>
      <w:r w:rsidRPr="00BC1F9F">
        <w:rPr>
          <w:rFonts w:cs="Arial"/>
          <w:u w:val="none"/>
        </w:rPr>
        <w:t xml:space="preserve"> óxidos dos não metais originam soluções aquosas básicas.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D57C5A" w:rsidRDefault="00BC1F9F" w:rsidP="00711405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>
        <w:rPr>
          <w:rFonts w:cs="Arial"/>
          <w:u w:val="none"/>
        </w:rPr>
        <w:t>Os gases nobres</w:t>
      </w:r>
    </w:p>
    <w:p w:rsidR="00BC1F9F" w:rsidRPr="00BC1F9F" w:rsidRDefault="00BC1F9F" w:rsidP="00BC1F9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>
        <w:rPr>
          <w:rFonts w:cs="Arial"/>
          <w:bCs/>
          <w:u w:val="none"/>
        </w:rPr>
        <w:t>p</w:t>
      </w:r>
      <w:r w:rsidRPr="00BC1F9F">
        <w:rPr>
          <w:rFonts w:cs="Arial"/>
          <w:bCs/>
          <w:u w:val="none"/>
        </w:rPr>
        <w:t>ertencem</w:t>
      </w:r>
      <w:proofErr w:type="gramEnd"/>
      <w:r w:rsidRPr="00BC1F9F">
        <w:rPr>
          <w:rFonts w:cs="Arial"/>
          <w:bCs/>
          <w:u w:val="none"/>
        </w:rPr>
        <w:t xml:space="preserve"> ao grupo 18 da Tabela Periódica e são muito reativos.</w:t>
      </w:r>
    </w:p>
    <w:p w:rsidR="00BC1F9F" w:rsidRPr="00BC1F9F" w:rsidRDefault="00BC1F9F" w:rsidP="00BC1F9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BC1F9F">
        <w:rPr>
          <w:rFonts w:cs="Arial"/>
          <w:bCs/>
          <w:u w:val="none"/>
        </w:rPr>
        <w:t>pertencem</w:t>
      </w:r>
      <w:proofErr w:type="gramEnd"/>
      <w:r w:rsidRPr="00BC1F9F">
        <w:rPr>
          <w:rFonts w:cs="Arial"/>
          <w:bCs/>
          <w:u w:val="none"/>
        </w:rPr>
        <w:t xml:space="preserve"> ao grupo 17 da Tabela Periódica e são muito reativos.</w:t>
      </w:r>
    </w:p>
    <w:p w:rsidR="00BC1F9F" w:rsidRPr="00BC1F9F" w:rsidRDefault="00BC1F9F" w:rsidP="00BC1F9F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BC1F9F">
        <w:rPr>
          <w:rFonts w:cs="Arial"/>
          <w:bCs/>
          <w:u w:val="none"/>
        </w:rPr>
        <w:t>pertencem</w:t>
      </w:r>
      <w:proofErr w:type="gramEnd"/>
      <w:r w:rsidRPr="00BC1F9F">
        <w:rPr>
          <w:rFonts w:cs="Arial"/>
          <w:bCs/>
          <w:u w:val="none"/>
        </w:rPr>
        <w:t xml:space="preserve"> ao grupo 17 da Tabela Periódica e são pouco reativos.</w:t>
      </w:r>
    </w:p>
    <w:p w:rsidR="003335C5" w:rsidRDefault="00BC1F9F" w:rsidP="00BC1F9F">
      <w:pPr>
        <w:pStyle w:val="PargrafodaLista"/>
        <w:numPr>
          <w:ilvl w:val="0"/>
          <w:numId w:val="7"/>
        </w:numPr>
        <w:spacing w:line="240" w:lineRule="auto"/>
        <w:jc w:val="both"/>
        <w:rPr>
          <w:b/>
          <w:color w:val="4274B0"/>
          <w:u w:val="none"/>
        </w:rPr>
      </w:pPr>
      <w:proofErr w:type="gramStart"/>
      <w:r w:rsidRPr="00BC1F9F">
        <w:rPr>
          <w:rFonts w:cs="Arial"/>
          <w:bCs/>
          <w:u w:val="none"/>
        </w:rPr>
        <w:t>pertencem</w:t>
      </w:r>
      <w:proofErr w:type="gramEnd"/>
      <w:r w:rsidRPr="00BC1F9F">
        <w:rPr>
          <w:rFonts w:cs="Arial"/>
          <w:bCs/>
          <w:u w:val="none"/>
        </w:rPr>
        <w:t xml:space="preserve"> ao grupo 18 da Tabela Periódica e são pouco reativos.</w:t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D57C5A" w:rsidRDefault="00BC1F9F" w:rsidP="00D57C5A">
      <w:pPr>
        <w:jc w:val="both"/>
        <w:rPr>
          <w:noProof/>
          <w:lang w:eastAsia="pt-PT"/>
        </w:rPr>
      </w:pPr>
      <w:r w:rsidRPr="00BC1F9F">
        <w:rPr>
          <w:rFonts w:cs="Arial"/>
          <w:b/>
          <w:color w:val="000000"/>
          <w:u w:val="none"/>
        </w:rPr>
        <w:t>Classifica as afirmações que se seguem em verdadeiras ou falsas:</w:t>
      </w:r>
    </w:p>
    <w:p w:rsidR="00BC1F9F" w:rsidRPr="00BC1F9F" w:rsidRDefault="00BC1F9F" w:rsidP="00BC1F9F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BC1F9F">
        <w:rPr>
          <w:rFonts w:cs="Arial"/>
          <w:bCs/>
          <w:u w:val="none"/>
        </w:rPr>
        <w:t>As propriedades químicas dos metais alcalinos devem-se à grande tendência dos seus átomos para formar iões mononegativos.</w:t>
      </w:r>
    </w:p>
    <w:p w:rsidR="00BC1F9F" w:rsidRPr="00BC1F9F" w:rsidRDefault="00BC1F9F" w:rsidP="00BC1F9F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BC1F9F">
        <w:rPr>
          <w:rFonts w:cs="Arial"/>
          <w:bCs/>
          <w:u w:val="none"/>
        </w:rPr>
        <w:t>A reatividade dos metais alcalinos aumenta ao longo do grupo.</w:t>
      </w:r>
    </w:p>
    <w:p w:rsidR="00BC1F9F" w:rsidRPr="00BC1F9F" w:rsidRDefault="00BC1F9F" w:rsidP="00BC1F9F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BC1F9F">
        <w:rPr>
          <w:rFonts w:cs="Arial"/>
          <w:bCs/>
          <w:u w:val="none"/>
        </w:rPr>
        <w:t>A reatividade dos metais alcalinoterrosos diminui ao longo do grupo</w:t>
      </w:r>
    </w:p>
    <w:p w:rsidR="00BC1F9F" w:rsidRPr="00BC1F9F" w:rsidRDefault="00BC1F9F" w:rsidP="00BC1F9F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Cs/>
          <w:u w:val="none"/>
        </w:rPr>
      </w:pPr>
      <w:r w:rsidRPr="00BC1F9F">
        <w:rPr>
          <w:rFonts w:cs="Arial"/>
          <w:bCs/>
          <w:u w:val="none"/>
        </w:rPr>
        <w:t>As propriedades químicas dos halogéneos devem-se à grande tendência que os seus átomos formar iões mononegativos.</w:t>
      </w:r>
    </w:p>
    <w:p w:rsidR="00D57C5A" w:rsidRDefault="00BC1F9F" w:rsidP="00BC1F9F">
      <w:pPr>
        <w:pStyle w:val="PargrafodaLista"/>
        <w:numPr>
          <w:ilvl w:val="0"/>
          <w:numId w:val="12"/>
        </w:numPr>
        <w:spacing w:line="240" w:lineRule="auto"/>
        <w:jc w:val="both"/>
        <w:rPr>
          <w:rFonts w:cs="Arial"/>
          <w:b/>
          <w:u w:val="none"/>
        </w:rPr>
      </w:pPr>
      <w:r w:rsidRPr="00BC1F9F">
        <w:rPr>
          <w:rFonts w:cs="Arial"/>
          <w:bCs/>
          <w:u w:val="none"/>
        </w:rPr>
        <w:t>A reatividade dos halogéneos aumenta ao longo do grupo.</w:t>
      </w: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711405" w:rsidRDefault="00711405">
      <w:pPr>
        <w:rPr>
          <w:rFonts w:cs="Arial"/>
          <w:b/>
          <w:u w:val="none"/>
        </w:rPr>
      </w:pPr>
      <w:r>
        <w:rPr>
          <w:rFonts w:cs="Arial"/>
          <w:b/>
          <w:u w:val="none"/>
        </w:rPr>
        <w:br w:type="page"/>
      </w:r>
    </w:p>
    <w:p w:rsidR="00D57C5A" w:rsidRDefault="00D57C5A" w:rsidP="00722CED">
      <w:pPr>
        <w:jc w:val="both"/>
        <w:rPr>
          <w:rFonts w:cs="Arial"/>
          <w:b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II</w:t>
      </w:r>
    </w:p>
    <w:p w:rsidR="00BC1F9F" w:rsidRPr="00BC1F9F" w:rsidRDefault="00BC1F9F" w:rsidP="00BC1F9F">
      <w:pPr>
        <w:autoSpaceDE w:val="0"/>
        <w:autoSpaceDN w:val="0"/>
        <w:adjustRightInd w:val="0"/>
        <w:jc w:val="both"/>
        <w:rPr>
          <w:rFonts w:cs="Arial"/>
          <w:b/>
          <w:u w:val="none"/>
        </w:rPr>
      </w:pPr>
      <w:r w:rsidRPr="00BC1F9F">
        <w:rPr>
          <w:rFonts w:cs="Arial"/>
          <w:b/>
          <w:u w:val="none"/>
        </w:rPr>
        <w:t>Considera os elementos químicos que se seguem:</w:t>
      </w:r>
    </w:p>
    <w:p w:rsidR="00BC1F9F" w:rsidRPr="00BC1F9F" w:rsidRDefault="00BC1F9F" w:rsidP="00BC1F9F">
      <w:pPr>
        <w:autoSpaceDE w:val="0"/>
        <w:autoSpaceDN w:val="0"/>
        <w:adjustRightInd w:val="0"/>
        <w:jc w:val="center"/>
        <w:rPr>
          <w:rFonts w:cs="Arial"/>
          <w:b/>
          <w:bCs/>
          <w:sz w:val="28"/>
          <w:u w:val="none"/>
        </w:rPr>
      </w:pPr>
      <w:proofErr w:type="gramStart"/>
      <w:r w:rsidRPr="00BC1F9F">
        <w:rPr>
          <w:rFonts w:cs="Arial"/>
          <w:b/>
          <w:bCs/>
          <w:sz w:val="28"/>
          <w:u w:val="none"/>
          <w:vertAlign w:val="subscript"/>
        </w:rPr>
        <w:t>9</w:t>
      </w:r>
      <w:r w:rsidRPr="00BC1F9F">
        <w:rPr>
          <w:rFonts w:cs="Arial"/>
          <w:b/>
          <w:bCs/>
          <w:sz w:val="28"/>
          <w:u w:val="none"/>
        </w:rPr>
        <w:t xml:space="preserve">F                 </w:t>
      </w:r>
      <w:r w:rsidRPr="00BC1F9F">
        <w:rPr>
          <w:rFonts w:cs="Arial"/>
          <w:b/>
          <w:bCs/>
          <w:sz w:val="28"/>
          <w:u w:val="none"/>
          <w:vertAlign w:val="subscript"/>
        </w:rPr>
        <w:t>17</w:t>
      </w:r>
      <w:r w:rsidRPr="00BC1F9F">
        <w:rPr>
          <w:rFonts w:cs="Arial"/>
          <w:b/>
          <w:bCs/>
          <w:sz w:val="28"/>
          <w:u w:val="none"/>
        </w:rPr>
        <w:t>C</w:t>
      </w:r>
      <w:proofErr w:type="gramEnd"/>
      <w:r w:rsidRPr="00BC1F9F">
        <w:rPr>
          <w:rFonts w:ascii="Cambria Math" w:hAnsi="Cambria Math" w:cs="Arial"/>
          <w:b/>
          <w:bCs/>
          <w:sz w:val="28"/>
          <w:u w:val="none"/>
        </w:rPr>
        <w:t>ℓ</w:t>
      </w:r>
      <w:r w:rsidRPr="00BC1F9F">
        <w:rPr>
          <w:rFonts w:cs="Arial"/>
          <w:b/>
          <w:bCs/>
          <w:sz w:val="28"/>
          <w:u w:val="none"/>
        </w:rPr>
        <w:t xml:space="preserve">                 </w:t>
      </w:r>
      <w:r w:rsidRPr="00BC1F9F">
        <w:rPr>
          <w:rFonts w:cs="Arial"/>
          <w:b/>
          <w:bCs/>
          <w:sz w:val="28"/>
          <w:u w:val="none"/>
          <w:vertAlign w:val="subscript"/>
        </w:rPr>
        <w:t>20</w:t>
      </w:r>
      <w:r w:rsidRPr="00BC1F9F">
        <w:rPr>
          <w:rFonts w:cs="Arial"/>
          <w:b/>
          <w:bCs/>
          <w:sz w:val="28"/>
          <w:u w:val="none"/>
        </w:rPr>
        <w:t xml:space="preserve">Ca                 </w:t>
      </w:r>
      <w:r w:rsidRPr="00BC1F9F">
        <w:rPr>
          <w:rFonts w:cs="Arial"/>
          <w:b/>
          <w:bCs/>
          <w:sz w:val="28"/>
          <w:u w:val="none"/>
          <w:vertAlign w:val="subscript"/>
        </w:rPr>
        <w:t>10</w:t>
      </w:r>
      <w:r w:rsidRPr="00BC1F9F">
        <w:rPr>
          <w:rFonts w:cs="Arial"/>
          <w:b/>
          <w:bCs/>
          <w:sz w:val="28"/>
          <w:u w:val="none"/>
        </w:rPr>
        <w:t>Ne</w:t>
      </w:r>
    </w:p>
    <w:p w:rsidR="00722CED" w:rsidRPr="00722CED" w:rsidRDefault="00722CED" w:rsidP="00722CED">
      <w:pPr>
        <w:pStyle w:val="Default"/>
        <w:spacing w:line="276" w:lineRule="auto"/>
        <w:jc w:val="both"/>
        <w:rPr>
          <w:rFonts w:ascii="Arial" w:hAnsi="Arial" w:cs="Arial"/>
          <w:b/>
          <w:bCs/>
          <w:sz w:val="22"/>
        </w:rPr>
      </w:pPr>
    </w:p>
    <w:p w:rsidR="00BC1F9F" w:rsidRDefault="00BC1F9F" w:rsidP="00BC1F9F">
      <w:pPr>
        <w:pStyle w:val="Default"/>
        <w:numPr>
          <w:ilvl w:val="0"/>
          <w:numId w:val="13"/>
        </w:numPr>
        <w:rPr>
          <w:rFonts w:ascii="Arial" w:hAnsi="Arial" w:cs="Arial"/>
          <w:sz w:val="22"/>
        </w:rPr>
      </w:pPr>
      <w:r w:rsidRPr="00BC1F9F">
        <w:rPr>
          <w:rFonts w:ascii="Arial" w:hAnsi="Arial" w:cs="Arial"/>
          <w:sz w:val="22"/>
        </w:rPr>
        <w:t>Faz a distribuição eletrónica dos átomos de cada um deles no estado fundamental.</w:t>
      </w:r>
    </w:p>
    <w:p w:rsid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P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numPr>
          <w:ilvl w:val="0"/>
          <w:numId w:val="13"/>
        </w:numPr>
        <w:rPr>
          <w:rFonts w:ascii="Arial" w:hAnsi="Arial" w:cs="Arial"/>
          <w:sz w:val="22"/>
        </w:rPr>
      </w:pPr>
      <w:r w:rsidRPr="00BC1F9F">
        <w:rPr>
          <w:rFonts w:ascii="Arial" w:hAnsi="Arial" w:cs="Arial"/>
          <w:sz w:val="22"/>
        </w:rPr>
        <w:t xml:space="preserve">Que </w:t>
      </w:r>
      <w:proofErr w:type="gramStart"/>
      <w:r w:rsidRPr="00BC1F9F">
        <w:rPr>
          <w:rFonts w:ascii="Arial" w:hAnsi="Arial" w:cs="Arial"/>
          <w:sz w:val="22"/>
        </w:rPr>
        <w:t>tipo de iões tendem</w:t>
      </w:r>
      <w:proofErr w:type="gramEnd"/>
      <w:r w:rsidRPr="00BC1F9F">
        <w:rPr>
          <w:rFonts w:ascii="Arial" w:hAnsi="Arial" w:cs="Arial"/>
          <w:sz w:val="22"/>
        </w:rPr>
        <w:t xml:space="preserve"> a formar os átomos F e Ca?</w:t>
      </w:r>
    </w:p>
    <w:p w:rsid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P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numPr>
          <w:ilvl w:val="0"/>
          <w:numId w:val="13"/>
        </w:numPr>
        <w:rPr>
          <w:rFonts w:ascii="Arial" w:hAnsi="Arial" w:cs="Arial"/>
          <w:sz w:val="22"/>
        </w:rPr>
      </w:pPr>
      <w:r w:rsidRPr="00BC1F9F">
        <w:rPr>
          <w:rFonts w:ascii="Arial" w:hAnsi="Arial" w:cs="Arial"/>
          <w:sz w:val="22"/>
        </w:rPr>
        <w:t>Localiza (grupo e período) de cada um dos elementos na Tabela Periódica.</w:t>
      </w:r>
    </w:p>
    <w:p w:rsidR="00BC1F9F" w:rsidRDefault="00BC1F9F" w:rsidP="00BC1F9F">
      <w:pPr>
        <w:pStyle w:val="Default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rPr>
          <w:rFonts w:ascii="Arial" w:hAnsi="Arial" w:cs="Arial"/>
          <w:sz w:val="22"/>
        </w:rPr>
      </w:pPr>
    </w:p>
    <w:p w:rsidR="00BC1F9F" w:rsidRPr="00BC1F9F" w:rsidRDefault="00BC1F9F" w:rsidP="00BC1F9F">
      <w:pPr>
        <w:pStyle w:val="Default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numPr>
          <w:ilvl w:val="0"/>
          <w:numId w:val="13"/>
        </w:numPr>
        <w:rPr>
          <w:rFonts w:ascii="Arial" w:hAnsi="Arial" w:cs="Arial"/>
          <w:sz w:val="22"/>
        </w:rPr>
      </w:pPr>
      <w:r w:rsidRPr="00BC1F9F">
        <w:rPr>
          <w:rFonts w:ascii="Arial" w:hAnsi="Arial" w:cs="Arial"/>
          <w:sz w:val="22"/>
        </w:rPr>
        <w:t>Dos elementos F e Cℓ, qual é o mais reativo? Justifica.</w:t>
      </w:r>
    </w:p>
    <w:p w:rsid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</w:p>
    <w:p w:rsidR="00BC1F9F" w:rsidRPr="00BC1F9F" w:rsidRDefault="00BC1F9F" w:rsidP="00BC1F9F">
      <w:pPr>
        <w:pStyle w:val="Default"/>
        <w:ind w:left="360"/>
        <w:rPr>
          <w:rFonts w:ascii="Arial" w:hAnsi="Arial" w:cs="Arial"/>
          <w:sz w:val="22"/>
        </w:rPr>
      </w:pPr>
      <w:bookmarkStart w:id="0" w:name="_GoBack"/>
      <w:bookmarkEnd w:id="0"/>
    </w:p>
    <w:p w:rsidR="00711405" w:rsidRPr="00711405" w:rsidRDefault="00BC1F9F" w:rsidP="00BC1F9F">
      <w:pPr>
        <w:pStyle w:val="Default"/>
        <w:numPr>
          <w:ilvl w:val="0"/>
          <w:numId w:val="13"/>
        </w:numPr>
        <w:rPr>
          <w:rFonts w:ascii="Arial" w:hAnsi="Arial" w:cs="Arial"/>
          <w:sz w:val="22"/>
        </w:rPr>
      </w:pPr>
      <w:r w:rsidRPr="00BC1F9F">
        <w:rPr>
          <w:rFonts w:ascii="Arial" w:hAnsi="Arial" w:cs="Arial"/>
          <w:sz w:val="22"/>
        </w:rPr>
        <w:t>Qual dos quatro elementos é o mais estável? Justifica.</w:t>
      </w:r>
    </w:p>
    <w:sectPr w:rsidR="00711405" w:rsidRPr="00711405" w:rsidSect="000B6055">
      <w:headerReference w:type="default" r:id="rId9"/>
      <w:footerReference w:type="default" r:id="rId10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3E1BA7E5" wp14:editId="4604CF5A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41939214" wp14:editId="5557CFB2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BC1F9F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160C069D" wp14:editId="66666C1B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24E350F" wp14:editId="0D562D7C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C4FC7268"/>
    <w:lvl w:ilvl="0" w:tplc="695415BC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EFD390C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FA731F"/>
    <w:multiLevelType w:val="multilevel"/>
    <w:tmpl w:val="D9181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70C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70C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1"/>
  </w:num>
  <w:num w:numId="9">
    <w:abstractNumId w:val="5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00004"/>
    <w:rsid w:val="0011256B"/>
    <w:rsid w:val="00170872"/>
    <w:rsid w:val="001930F2"/>
    <w:rsid w:val="001E61CD"/>
    <w:rsid w:val="00292541"/>
    <w:rsid w:val="003003FF"/>
    <w:rsid w:val="00307415"/>
    <w:rsid w:val="003335C5"/>
    <w:rsid w:val="003E3D43"/>
    <w:rsid w:val="00426468"/>
    <w:rsid w:val="004E621F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1405"/>
    <w:rsid w:val="00713227"/>
    <w:rsid w:val="00715A23"/>
    <w:rsid w:val="00722CED"/>
    <w:rsid w:val="0075779F"/>
    <w:rsid w:val="00781D26"/>
    <w:rsid w:val="00790FCD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AC6F7B"/>
    <w:rsid w:val="00B11A1F"/>
    <w:rsid w:val="00B56808"/>
    <w:rsid w:val="00BC1F9F"/>
    <w:rsid w:val="00BC78D2"/>
    <w:rsid w:val="00BF1EBB"/>
    <w:rsid w:val="00C04F5B"/>
    <w:rsid w:val="00C44328"/>
    <w:rsid w:val="00C85910"/>
    <w:rsid w:val="00CB1803"/>
    <w:rsid w:val="00CD7B8E"/>
    <w:rsid w:val="00D57C5A"/>
    <w:rsid w:val="00DA413F"/>
    <w:rsid w:val="00DA627C"/>
    <w:rsid w:val="00DD6C03"/>
    <w:rsid w:val="00E03AA2"/>
    <w:rsid w:val="00E05268"/>
    <w:rsid w:val="00E0758B"/>
    <w:rsid w:val="00EF72BC"/>
    <w:rsid w:val="00F3334A"/>
    <w:rsid w:val="00F4070B"/>
    <w:rsid w:val="00F672E5"/>
    <w:rsid w:val="00F818BD"/>
    <w:rsid w:val="00FA32FB"/>
    <w:rsid w:val="00FA3FBE"/>
    <w:rsid w:val="00FB74F0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5B005D-EC8F-47ED-B495-FFE0DBE03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2015-05-22T10:43:00Z</dcterms:created>
  <dcterms:modified xsi:type="dcterms:W3CDTF">2015-05-22T10:49:00Z</dcterms:modified>
</cp:coreProperties>
</file>