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22A" w:rsidRPr="003F45C7" w:rsidRDefault="003F45C7" w:rsidP="008C5FF0">
      <w:pPr>
        <w:spacing w:after="140" w:line="280" w:lineRule="atLeast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1312" behindDoc="0" locked="0" layoutInCell="1" allowOverlap="1" wp14:anchorId="29B38A48" wp14:editId="67CCAADE">
                <wp:simplePos x="0" y="0"/>
                <wp:positionH relativeFrom="margin">
                  <wp:posOffset>-36830</wp:posOffset>
                </wp:positionH>
                <wp:positionV relativeFrom="paragraph">
                  <wp:posOffset>902335</wp:posOffset>
                </wp:positionV>
                <wp:extent cx="248285" cy="25908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122A" w:rsidRPr="003F45C7" w:rsidRDefault="0049122A" w:rsidP="0049122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F45C7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49122A" w:rsidRPr="003F45C7" w:rsidRDefault="0049122A" w:rsidP="0049122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B38A48" id="Retângulo arredondado 1" o:spid="_x0000_s1026" style="position:absolute;margin-left:-2.9pt;margin-top:71.05pt;width:19.55pt;height:20.4pt;z-index:251661312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49122A" w:rsidRPr="003F45C7" w:rsidRDefault="0049122A" w:rsidP="0049122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F45C7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49122A" w:rsidRPr="003F45C7" w:rsidRDefault="0049122A" w:rsidP="0049122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3F45C7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252095" distL="114300" distR="114300" simplePos="0" relativeHeight="251659264" behindDoc="0" locked="0" layoutInCell="1" allowOverlap="1" wp14:anchorId="66A8A36E" wp14:editId="6E92AA2B">
                <wp:simplePos x="0" y="0"/>
                <wp:positionH relativeFrom="page">
                  <wp:posOffset>937015</wp:posOffset>
                </wp:positionH>
                <wp:positionV relativeFrom="page">
                  <wp:posOffset>419100</wp:posOffset>
                </wp:positionV>
                <wp:extent cx="5884790" cy="753634"/>
                <wp:effectExtent l="19050" t="19050" r="20955" b="27940"/>
                <wp:wrapTopAndBottom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4790" cy="753634"/>
                          <a:chOff x="573206" y="88711"/>
                          <a:chExt cx="5256327" cy="75450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122A" w:rsidRPr="003F45C7" w:rsidRDefault="0049122A" w:rsidP="0049122A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3F45C7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 xml:space="preserve">FICHA DE AMPLIAÇÃO </w:t>
                              </w:r>
                              <w:r w:rsidR="00065C06" w:rsidRPr="003F45C7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9122A" w:rsidRPr="003F45C7" w:rsidRDefault="0049122A" w:rsidP="0049122A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3F45C7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A8A36E" id="Grupo 8" o:spid="_x0000_s1027" style="position:absolute;margin-left:73.8pt;margin-top:33pt;width:463.35pt;height:59.35pt;z-index:251659264;mso-wrap-distance-bottom:19.85pt;mso-position-horizontal-relative:page;mso-position-vertical-relative:page" coordorigin="5732,887" coordsize="52563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">
                <v:roundrect id="Rounded Rectangle 80" o:spid="_x0000_s1028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49122A" w:rsidRPr="003F45C7" w:rsidRDefault="0049122A" w:rsidP="0049122A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3F45C7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 xml:space="preserve">FICHA DE AMPLIAÇÃO </w:t>
                        </w:r>
                        <w:r w:rsidR="00065C06" w:rsidRPr="003F45C7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11</w:t>
                        </w:r>
                      </w:p>
                    </w:txbxContent>
                  </v:textbox>
                </v:roundrect>
                <v:roundrect id="Text Box 58" o:spid="_x0000_s1029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49122A" w:rsidRPr="003F45C7" w:rsidRDefault="0049122A" w:rsidP="0049122A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3F45C7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wrap type="topAndBottom" anchorx="page" anchory="page"/>
              </v:group>
            </w:pict>
          </mc:Fallback>
        </mc:AlternateContent>
      </w:r>
      <w:r w:rsidR="0049122A" w:rsidRPr="003F45C7">
        <w:rPr>
          <w:rFonts w:ascii="Calibri" w:hAnsi="Calibri" w:cs="Arial"/>
          <w:b/>
          <w:lang w:val="pt-PT"/>
        </w:rPr>
        <w:t>Lê com atenção o texto e responde às questões.</w:t>
      </w:r>
    </w:p>
    <w:tbl>
      <w:tblPr>
        <w:tblStyle w:val="Tabelacomgrelha"/>
        <w:tblW w:w="0" w:type="auto"/>
        <w:jc w:val="right"/>
        <w:tblLook w:val="04A0" w:firstRow="1" w:lastRow="0" w:firstColumn="1" w:lastColumn="0" w:noHBand="0" w:noVBand="1"/>
      </w:tblPr>
      <w:tblGrid>
        <w:gridCol w:w="9209"/>
      </w:tblGrid>
      <w:tr w:rsidR="0049122A" w:rsidRPr="003F45C7" w:rsidTr="0042642D">
        <w:trPr>
          <w:jc w:val="right"/>
        </w:trPr>
        <w:tc>
          <w:tcPr>
            <w:tcW w:w="9209" w:type="dxa"/>
          </w:tcPr>
          <w:p w:rsidR="0049122A" w:rsidRPr="003F45C7" w:rsidRDefault="0049122A" w:rsidP="0049122A">
            <w:pPr>
              <w:spacing w:after="140" w:line="280" w:lineRule="atLeast"/>
              <w:ind w:left="170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hAnsi="Calibri"/>
                <w:noProof/>
                <w:lang w:val="pt-PT" w:eastAsia="pt-PT"/>
              </w:rPr>
              <w:drawing>
                <wp:anchor distT="0" distB="0" distL="114300" distR="114300" simplePos="0" relativeHeight="251663360" behindDoc="1" locked="0" layoutInCell="1" allowOverlap="1" wp14:anchorId="40969B91" wp14:editId="6CDAF053">
                  <wp:simplePos x="0" y="0"/>
                  <wp:positionH relativeFrom="column">
                    <wp:posOffset>3475604</wp:posOffset>
                  </wp:positionH>
                  <wp:positionV relativeFrom="paragraph">
                    <wp:posOffset>165100</wp:posOffset>
                  </wp:positionV>
                  <wp:extent cx="2199600" cy="3294000"/>
                  <wp:effectExtent l="0" t="0" r="0" b="1905"/>
                  <wp:wrapTight wrapText="left">
                    <wp:wrapPolygon edited="0">
                      <wp:start x="0" y="0"/>
                      <wp:lineTo x="0" y="21488"/>
                      <wp:lineTo x="21332" y="21488"/>
                      <wp:lineTo x="21332" y="0"/>
                      <wp:lineTo x="0" y="0"/>
                    </wp:wrapPolygon>
                  </wp:wrapTight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32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45C7">
              <w:rPr>
                <w:rFonts w:ascii="Calibri" w:eastAsia="Times New Roman" w:hAnsi="Calibri" w:cs="Arial"/>
                <w:lang w:val="pt-PT" w:eastAsia="pt-PT"/>
              </w:rPr>
              <w:t>ASPIRADORES MAIS POTENTES DEIXAM MERCADO EM SETEMBRO PARA DIMINUIR CONSUMO ENERGÉTICO</w:t>
            </w:r>
          </w:p>
          <w:p w:rsidR="0049122A" w:rsidRPr="003F45C7" w:rsidRDefault="0049122A" w:rsidP="0042642D">
            <w:pPr>
              <w:spacing w:after="0" w:line="280" w:lineRule="atLeast"/>
              <w:ind w:left="170" w:right="175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lang w:val="pt-PT" w:eastAsia="pt-PT"/>
              </w:rPr>
              <w:t>Os aspiradores com mais de 1600 watts vão ser proibidos na União Europeia (UE) devido a uma norma que visa diminuir o consumo energético. Os aspiradores vão deixar de ser fabricados a partir de 1 de setembro e, paulatinamente, irão desaparecer das lojas: em 2017, o limite vai baixar para 900 watts.</w:t>
            </w:r>
          </w:p>
          <w:p w:rsidR="0049122A" w:rsidRPr="003F45C7" w:rsidRDefault="0049122A" w:rsidP="0042642D">
            <w:pPr>
              <w:spacing w:after="0" w:line="280" w:lineRule="atLeast"/>
              <w:ind w:left="170" w:right="175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lang w:val="pt-PT" w:eastAsia="pt-PT"/>
              </w:rPr>
              <w:t>A UE quer incentivar o consumo de aparelhos com maior eficiência energética e defende que uma menor potência não é sinónimo de menos eficácia na limpeza.</w:t>
            </w:r>
          </w:p>
          <w:p w:rsidR="0049122A" w:rsidRPr="003F45C7" w:rsidRDefault="0049122A" w:rsidP="0042642D">
            <w:pPr>
              <w:spacing w:after="0" w:line="280" w:lineRule="atLeast"/>
              <w:ind w:left="170" w:right="175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lang w:val="pt-PT" w:eastAsia="pt-PT"/>
              </w:rPr>
              <w:t>A UE sustenta a medida com a necessidade de cumprir o potencial de economia de energia de 20 % previsto para 2020, e diz que não existe relação entre alta potência e eficiência do aspirador.</w:t>
            </w:r>
          </w:p>
          <w:p w:rsidR="0049122A" w:rsidRPr="003F45C7" w:rsidRDefault="0049122A" w:rsidP="0042642D">
            <w:pPr>
              <w:spacing w:after="0" w:line="280" w:lineRule="atLeast"/>
              <w:ind w:left="170" w:right="175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lang w:val="pt-PT" w:eastAsia="pt-PT"/>
              </w:rPr>
              <w:t>Outra das novidades é que os aspiradores vão ter a mesma etiqueta que já vemos nas máquinas de lavar e frigoríficos, que os classificará de A (mais eficiente) a G (menos eficiente). Apenas os modelos com um baixo consumo, menor ruído e uma boa capacidade de aspiração poderão alcançar a melhor classe.</w:t>
            </w:r>
          </w:p>
          <w:p w:rsidR="0049122A" w:rsidRPr="003F45C7" w:rsidRDefault="0049122A" w:rsidP="0042642D">
            <w:pPr>
              <w:spacing w:after="0" w:line="280" w:lineRule="atLeast"/>
              <w:ind w:left="170" w:right="175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lang w:val="pt-PT" w:eastAsia="pt-PT"/>
              </w:rPr>
              <w:t>As novas regras não se aplicam às seguintes categorias de aspirador: aspiradores de líquidos, líquidos e sólidos, com bateria, robôs, industriais e centrais.</w:t>
            </w:r>
          </w:p>
          <w:p w:rsidR="0049122A" w:rsidRPr="003F45C7" w:rsidRDefault="0049122A" w:rsidP="0042642D">
            <w:pPr>
              <w:spacing w:after="0" w:line="280" w:lineRule="atLeast"/>
              <w:ind w:left="170" w:right="175" w:firstLine="397"/>
              <w:jc w:val="both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lang w:val="pt-PT" w:eastAsia="pt-PT"/>
              </w:rPr>
              <w:t>As lojas vão poder escoar o stock de aspiradores com mais de 1600 watts, mas não podem importar aparelhos fora das normas.</w:t>
            </w:r>
          </w:p>
          <w:p w:rsidR="0049122A" w:rsidRPr="003F45C7" w:rsidRDefault="0049122A" w:rsidP="0042642D">
            <w:pPr>
              <w:spacing w:after="140" w:line="280" w:lineRule="atLeast"/>
              <w:ind w:left="170" w:right="175"/>
              <w:jc w:val="right"/>
              <w:rPr>
                <w:rFonts w:ascii="Calibri" w:eastAsia="Times New Roman" w:hAnsi="Calibri" w:cs="Arial"/>
                <w:lang w:val="pt-PT" w:eastAsia="pt-PT"/>
              </w:rPr>
            </w:pPr>
            <w:r w:rsidRPr="003F45C7">
              <w:rPr>
                <w:rFonts w:ascii="Calibri" w:eastAsia="Times New Roman" w:hAnsi="Calibri" w:cs="Arial"/>
                <w:i/>
                <w:lang w:val="pt-PT" w:eastAsia="pt-PT"/>
              </w:rPr>
              <w:t>Green Savers,</w:t>
            </w:r>
            <w:r w:rsidRPr="003F45C7">
              <w:rPr>
                <w:rFonts w:ascii="Calibri" w:eastAsia="Times New Roman" w:hAnsi="Calibri" w:cs="Arial"/>
                <w:lang w:val="pt-PT" w:eastAsia="pt-PT"/>
              </w:rPr>
              <w:t xml:space="preserve"> 27/08/2014 (adaptado)</w:t>
            </w:r>
          </w:p>
        </w:tc>
      </w:tr>
    </w:tbl>
    <w:p w:rsidR="0049122A" w:rsidRPr="003F45C7" w:rsidRDefault="008C5FF0" w:rsidP="008C5FF0">
      <w:pPr>
        <w:pStyle w:val="PargrafodaLista"/>
        <w:numPr>
          <w:ilvl w:val="1"/>
          <w:numId w:val="37"/>
        </w:numPr>
        <w:spacing w:before="280" w:after="0" w:line="280" w:lineRule="atLeast"/>
        <w:ind w:left="782" w:hanging="357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>Identifica a grandeza física a que se refere a informação de que determinado aspirador tem 1600 W.</w:t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8C5FF0" w:rsidRPr="003F45C7" w:rsidRDefault="008C5FF0" w:rsidP="008C5FF0">
      <w:pPr>
        <w:pStyle w:val="PargrafodaLista"/>
        <w:numPr>
          <w:ilvl w:val="1"/>
          <w:numId w:val="37"/>
        </w:numPr>
        <w:spacing w:before="280" w:after="0" w:line="280" w:lineRule="atLeast"/>
        <w:ind w:left="782" w:hanging="357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>Refere outras grandezas físicas que se relacionam com a grandeza física referida em 1.1.</w:t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8C5FF0" w:rsidRPr="003F45C7" w:rsidRDefault="008C5FF0" w:rsidP="008C5FF0">
      <w:pPr>
        <w:pStyle w:val="PargrafodaLista"/>
        <w:numPr>
          <w:ilvl w:val="1"/>
          <w:numId w:val="37"/>
        </w:numPr>
        <w:spacing w:before="280" w:after="0" w:line="280" w:lineRule="atLeast"/>
        <w:ind w:left="782" w:hanging="357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>Identifica o consumidor que teve uma atitude mais amiga do ambiente: o consumidor A, que comprou um aspirador de 2200 W, ou o consumidor B, que comprou um aspirador de 950 W. Justifica a tua resposta.</w:t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8C5FF0" w:rsidRPr="003F45C7" w:rsidRDefault="008C5FF0" w:rsidP="008C5FF0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523190" w:rsidRPr="003F45C7" w:rsidRDefault="00523190" w:rsidP="008A4464">
      <w:pPr>
        <w:pStyle w:val="PargrafodaLista"/>
        <w:numPr>
          <w:ilvl w:val="1"/>
          <w:numId w:val="37"/>
        </w:numPr>
        <w:spacing w:before="420" w:after="2100" w:line="280" w:lineRule="atLeast"/>
        <w:ind w:left="782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>Imagina que os consumidores A e B utilizam os seus aspiradores durante 45 minutos. Determina a energia gasta por cada um deles.</w:t>
      </w:r>
    </w:p>
    <w:p w:rsidR="00A4776E" w:rsidRPr="003F45C7" w:rsidRDefault="00A4776E" w:rsidP="00C934B7">
      <w:pPr>
        <w:pStyle w:val="PargrafodaLista"/>
        <w:numPr>
          <w:ilvl w:val="1"/>
          <w:numId w:val="37"/>
        </w:numPr>
        <w:spacing w:before="420" w:after="0" w:line="280" w:lineRule="atLeast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lastRenderedPageBreak/>
        <w:t>Será que a troca de equipamento de elevada potência por outro de potência mais reduzida para diminuir o consumo energético é um objetivo válido apenas para aspiradores?</w:t>
      </w:r>
    </w:p>
    <w:p w:rsidR="00A4776E" w:rsidRPr="003F45C7" w:rsidRDefault="00A4776E" w:rsidP="00A4776E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A4776E" w:rsidRPr="003F45C7" w:rsidRDefault="00A4776E" w:rsidP="00A4776E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A4776E" w:rsidRPr="003F45C7" w:rsidRDefault="00012237" w:rsidP="00A4776E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hAnsi="Calibri"/>
          <w:b/>
          <w:noProof/>
          <w:lang w:val="pt-PT" w:eastAsia="pt-PT"/>
        </w:rPr>
        <w:drawing>
          <wp:anchor distT="0" distB="0" distL="252095" distR="114300" simplePos="0" relativeHeight="251664384" behindDoc="0" locked="0" layoutInCell="1" allowOverlap="1" wp14:anchorId="6199754C" wp14:editId="5735E1BD">
            <wp:simplePos x="0" y="0"/>
            <wp:positionH relativeFrom="column">
              <wp:posOffset>3517366</wp:posOffset>
            </wp:positionH>
            <wp:positionV relativeFrom="paragraph">
              <wp:posOffset>219572</wp:posOffset>
            </wp:positionV>
            <wp:extent cx="2466000" cy="2800800"/>
            <wp:effectExtent l="0" t="0" r="0" b="0"/>
            <wp:wrapThrough wrapText="left">
              <wp:wrapPolygon edited="0">
                <wp:start x="0" y="0"/>
                <wp:lineTo x="0" y="21453"/>
                <wp:lineTo x="21361" y="21453"/>
                <wp:lineTo x="21361" y="0"/>
                <wp:lineTo x="0" y="0"/>
              </wp:wrapPolygon>
            </wp:wrapThrough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000" cy="28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76E" w:rsidRPr="003F45C7">
        <w:rPr>
          <w:rFonts w:ascii="Calibri" w:eastAsia="Times New Roman" w:hAnsi="Calibri" w:cs="Arial"/>
          <w:lang w:val="pt-PT" w:eastAsia="pt-PT"/>
        </w:rPr>
        <w:tab/>
      </w:r>
    </w:p>
    <w:p w:rsidR="00A4776E" w:rsidRPr="003F45C7" w:rsidRDefault="00425BEE" w:rsidP="00012237">
      <w:pPr>
        <w:tabs>
          <w:tab w:val="right" w:leader="underscore" w:pos="9497"/>
        </w:tabs>
        <w:spacing w:after="980" w:line="280" w:lineRule="atLeast"/>
        <w:ind w:left="709"/>
        <w:jc w:val="both"/>
        <w:rPr>
          <w:rFonts w:ascii="Calibri" w:eastAsia="Times New Roman" w:hAnsi="Calibri" w:cs="Arial"/>
          <w:b/>
          <w:lang w:val="pt-PT" w:eastAsia="pt-PT"/>
        </w:rPr>
      </w:pPr>
      <w:r w:rsidRPr="003F45C7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6432" behindDoc="0" locked="0" layoutInCell="1" allowOverlap="1" wp14:anchorId="4FD678CA" wp14:editId="71E4AB3B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248400" cy="259200"/>
                <wp:effectExtent l="0" t="0" r="0" b="7620"/>
                <wp:wrapSquare wrapText="right"/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5BEE" w:rsidRPr="003F45C7" w:rsidRDefault="00425BEE" w:rsidP="00425BEE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F45C7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425BEE" w:rsidRPr="003F45C7" w:rsidRDefault="00425BEE" w:rsidP="00425BEE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D678CA" id="Retângulo arredondado 11" o:spid="_x0000_s1030" style="position:absolute;left:0;text-align:left;margin-left:0;margin-top:2.25pt;width:19.55pt;height:20.4pt;z-index:25166643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m1aSgMAADI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425BEE" w:rsidRPr="003F45C7" w:rsidRDefault="00425BEE" w:rsidP="00425BEE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F45C7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425BEE" w:rsidRPr="003F45C7" w:rsidRDefault="00425BEE" w:rsidP="00425BEE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3F45C7">
        <w:rPr>
          <w:rFonts w:ascii="Calibri" w:eastAsia="Times New Roman" w:hAnsi="Calibri" w:cs="Arial"/>
          <w:b/>
          <w:lang w:val="pt-PT" w:eastAsia="pt-PT"/>
        </w:rPr>
        <w:t>A figura ao lado apresenta o esquema do interior de um aspirador, a fim de se perceber o seu funcionamento. Ao ligar o aspirador à tomada, a corrente elétrica origina um campo magnético que obriga o motor a girar. O motor está ligado a uma escova rotativa, do género de uma hélice, cujo movimento vai sugar o ar, obrigando-o a entrar. Ao entrar, o ar arrasta consigo os pós, as poeiras e as pequenas partículas, que ficam retidos num filtro antes de o ar sair. Quanto maior for a quantidade de ar sugado por um aspirador, num dado intervalo de tempo, maior será a sua eficiência.</w:t>
      </w:r>
    </w:p>
    <w:p w:rsidR="00E762B6" w:rsidRPr="003F45C7" w:rsidRDefault="00012237" w:rsidP="00012237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b/>
          <w:lang w:val="pt-PT" w:eastAsia="pt-PT"/>
        </w:rPr>
        <w:t xml:space="preserve">2.1 </w:t>
      </w:r>
      <w:r w:rsidRPr="003F45C7">
        <w:rPr>
          <w:rFonts w:ascii="Calibri" w:eastAsia="Times New Roman" w:hAnsi="Calibri" w:cs="Arial"/>
          <w:lang w:val="pt-PT" w:eastAsia="pt-PT"/>
        </w:rPr>
        <w:t>Refere o efeito da corrente que é responsável pelo funcionamento do aspirador.</w:t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1134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1134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012237" w:rsidRPr="003F45C7" w:rsidRDefault="00012237" w:rsidP="00425BEE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b/>
          <w:lang w:val="pt-PT" w:eastAsia="pt-PT"/>
        </w:rPr>
        <w:t>2.2</w:t>
      </w:r>
      <w:r w:rsidRPr="003F45C7">
        <w:rPr>
          <w:rFonts w:ascii="Calibri" w:eastAsia="Times New Roman" w:hAnsi="Calibri" w:cs="Arial"/>
          <w:lang w:val="pt-PT" w:eastAsia="pt-PT"/>
        </w:rPr>
        <w:t xml:space="preserve"> Identifica outros efeitos da corrente elétrica.</w:t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1134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1134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b/>
          <w:lang w:val="pt-PT" w:eastAsia="pt-PT"/>
        </w:rPr>
        <w:t>2.3</w:t>
      </w:r>
      <w:r w:rsidRPr="003F45C7">
        <w:rPr>
          <w:rFonts w:ascii="Calibri" w:eastAsia="Times New Roman" w:hAnsi="Calibri" w:cs="Arial"/>
          <w:lang w:val="pt-PT" w:eastAsia="pt-PT"/>
        </w:rPr>
        <w:t xml:space="preserve"> Dá exemplos de eletrodomésticos que funcionem devido aos efeitos referidos nas duas questões anteriores.</w:t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1134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p w:rsidR="00012237" w:rsidRPr="003F45C7" w:rsidRDefault="00012237" w:rsidP="00012237">
      <w:pPr>
        <w:tabs>
          <w:tab w:val="right" w:leader="underscore" w:pos="9497"/>
        </w:tabs>
        <w:spacing w:after="140" w:line="280" w:lineRule="atLeast"/>
        <w:ind w:left="1134"/>
        <w:jc w:val="both"/>
        <w:rPr>
          <w:rFonts w:ascii="Calibri" w:eastAsia="Times New Roman" w:hAnsi="Calibri" w:cs="Arial"/>
          <w:lang w:val="pt-PT" w:eastAsia="pt-PT"/>
        </w:rPr>
      </w:pPr>
      <w:r w:rsidRPr="003F45C7">
        <w:rPr>
          <w:rFonts w:ascii="Calibri" w:eastAsia="Times New Roman" w:hAnsi="Calibri" w:cs="Arial"/>
          <w:lang w:val="pt-PT" w:eastAsia="pt-PT"/>
        </w:rPr>
        <w:tab/>
      </w:r>
    </w:p>
    <w:sectPr w:rsidR="00012237" w:rsidRPr="003F45C7" w:rsidSect="004912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A50" w:rsidRDefault="00C97A50" w:rsidP="0010395D">
      <w:pPr>
        <w:spacing w:after="0" w:line="240" w:lineRule="auto"/>
      </w:pPr>
      <w:r>
        <w:separator/>
      </w:r>
    </w:p>
  </w:endnote>
  <w:endnote w:type="continuationSeparator" w:id="0">
    <w:p w:rsidR="00C97A50" w:rsidRDefault="00C97A50" w:rsidP="0010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5D" w:rsidRDefault="0010395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5D" w:rsidRDefault="0010395D">
    <w:pPr>
      <w:pStyle w:val="Rodap"/>
    </w:pPr>
    <w:r>
      <w:rPr>
        <w:sz w:val="16"/>
      </w:rPr>
      <w:t>DESAFIOS • Físico-Química • 9.º ano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5D" w:rsidRDefault="001039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A50" w:rsidRDefault="00C97A50" w:rsidP="0010395D">
      <w:pPr>
        <w:spacing w:after="0" w:line="240" w:lineRule="auto"/>
      </w:pPr>
      <w:r>
        <w:separator/>
      </w:r>
    </w:p>
  </w:footnote>
  <w:footnote w:type="continuationSeparator" w:id="0">
    <w:p w:rsidR="00C97A50" w:rsidRDefault="00C97A50" w:rsidP="00103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5D" w:rsidRDefault="0010395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5D" w:rsidRDefault="0010395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95D" w:rsidRDefault="0010395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B01F5B"/>
    <w:multiLevelType w:val="multilevel"/>
    <w:tmpl w:val="B78872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6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9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7"/>
  </w:num>
  <w:num w:numId="19">
    <w:abstractNumId w:val="7"/>
  </w:num>
  <w:num w:numId="20">
    <w:abstractNumId w:val="7"/>
  </w:num>
  <w:num w:numId="21">
    <w:abstractNumId w:val="1"/>
  </w:num>
  <w:num w:numId="22">
    <w:abstractNumId w:val="6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8"/>
  </w:num>
  <w:num w:numId="36">
    <w:abstractNumId w:val="13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2A"/>
    <w:rsid w:val="00012237"/>
    <w:rsid w:val="00065C06"/>
    <w:rsid w:val="0010395D"/>
    <w:rsid w:val="001521DE"/>
    <w:rsid w:val="00213B85"/>
    <w:rsid w:val="002B3656"/>
    <w:rsid w:val="003F2323"/>
    <w:rsid w:val="003F45C7"/>
    <w:rsid w:val="00425BEE"/>
    <w:rsid w:val="0042642D"/>
    <w:rsid w:val="0049122A"/>
    <w:rsid w:val="00523190"/>
    <w:rsid w:val="00567591"/>
    <w:rsid w:val="00733D71"/>
    <w:rsid w:val="008A4464"/>
    <w:rsid w:val="008C5FF0"/>
    <w:rsid w:val="008F5E58"/>
    <w:rsid w:val="00A25B25"/>
    <w:rsid w:val="00A4776E"/>
    <w:rsid w:val="00AD2A85"/>
    <w:rsid w:val="00C97A50"/>
    <w:rsid w:val="00D12C1C"/>
    <w:rsid w:val="00E762B6"/>
    <w:rsid w:val="00F047FC"/>
    <w:rsid w:val="00F23D56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C4ABC-0A9C-4BBA-BAB3-776483A5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22A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table" w:styleId="Tabelacomgrelha">
    <w:name w:val="Table Grid"/>
    <w:basedOn w:val="Tabelanormal"/>
    <w:uiPriority w:val="39"/>
    <w:rsid w:val="00491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C5FF0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1039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0395D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1039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0395D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460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7</cp:revision>
  <dcterms:created xsi:type="dcterms:W3CDTF">2015-11-19T15:06:00Z</dcterms:created>
  <dcterms:modified xsi:type="dcterms:W3CDTF">2016-01-20T12:22:00Z</dcterms:modified>
</cp:coreProperties>
</file>