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8677F9" w14:textId="77777777" w:rsidR="00B82B1D" w:rsidRPr="00B82B1D" w:rsidRDefault="00B82B1D" w:rsidP="00B82B1D">
      <w:pPr>
        <w:jc w:val="right"/>
        <w:rPr>
          <w:rFonts w:ascii="Arial" w:hAnsi="Arial" w:cs="Arial"/>
          <w:color w:val="E6E6C3"/>
          <w:sz w:val="100"/>
          <w:szCs w:val="100"/>
        </w:rPr>
      </w:pPr>
      <w:r w:rsidRPr="00B82B1D">
        <w:rPr>
          <w:rFonts w:ascii="Arial" w:hAnsi="Arial" w:cs="Arial"/>
          <w:color w:val="E6E6C3"/>
          <w:sz w:val="100"/>
          <w:szCs w:val="100"/>
        </w:rPr>
        <w:t>Correção</w:t>
      </w:r>
    </w:p>
    <w:p w14:paraId="23B57901" w14:textId="77777777" w:rsidR="00B82B1D" w:rsidRPr="00B82B1D" w:rsidRDefault="00B82B1D" w:rsidP="00B82B1D">
      <w:pPr>
        <w:shd w:val="clear" w:color="auto" w:fill="1F497D"/>
        <w:ind w:right="8363"/>
        <w:rPr>
          <w:rFonts w:ascii="Arial" w:hAnsi="Arial" w:cs="Arial"/>
          <w:b/>
          <w:bCs/>
          <w:color w:val="FFFFFF"/>
          <w:sz w:val="50"/>
          <w:szCs w:val="50"/>
          <w:lang w:eastAsia="en-US"/>
        </w:rPr>
      </w:pPr>
      <w:r w:rsidRPr="00B82B1D">
        <w:rPr>
          <w:rFonts w:ascii="Arial" w:hAnsi="Arial" w:cs="Arial"/>
          <w:b/>
          <w:bCs/>
          <w:color w:val="FFFFFF"/>
          <w:sz w:val="32"/>
          <w:szCs w:val="32"/>
        </w:rPr>
        <w:t>Ficha 1</w:t>
      </w:r>
      <w:r w:rsidR="00BF7DF0">
        <w:rPr>
          <w:rFonts w:ascii="Arial" w:hAnsi="Arial" w:cs="Arial"/>
          <w:b/>
          <w:bCs/>
          <w:color w:val="FFFFFF"/>
          <w:sz w:val="32"/>
          <w:szCs w:val="32"/>
        </w:rPr>
        <w:t>B</w:t>
      </w:r>
    </w:p>
    <w:p w14:paraId="03EFE446" w14:textId="77777777" w:rsidR="000107F9" w:rsidRDefault="00B82B1D" w:rsidP="00B82B1D">
      <w:pPr>
        <w:autoSpaceDE w:val="0"/>
        <w:autoSpaceDN w:val="0"/>
        <w:adjustRightInd w:val="0"/>
        <w:rPr>
          <w:rFonts w:ascii="Arial" w:hAnsi="Arial" w:cs="Arial"/>
          <w:color w:val="004366"/>
          <w:sz w:val="40"/>
          <w:szCs w:val="40"/>
        </w:rPr>
      </w:pPr>
      <w:r w:rsidRPr="00B82B1D">
        <w:rPr>
          <w:rFonts w:ascii="Arial" w:hAnsi="Arial" w:cs="Arial"/>
          <w:b/>
          <w:bCs/>
          <w:color w:val="004366"/>
          <w:sz w:val="40"/>
          <w:szCs w:val="40"/>
        </w:rPr>
        <w:t xml:space="preserve">Critérios específicos de correção </w:t>
      </w:r>
      <w:r w:rsidRPr="00B82B1D">
        <w:rPr>
          <w:rFonts w:ascii="Arial" w:hAnsi="Arial" w:cs="Arial"/>
          <w:color w:val="004366"/>
          <w:sz w:val="40"/>
          <w:szCs w:val="40"/>
        </w:rPr>
        <w:t>| 9.1. Apogeu e declínio da influência</w:t>
      </w:r>
      <w:r>
        <w:rPr>
          <w:rFonts w:ascii="Arial" w:hAnsi="Arial" w:cs="Arial"/>
          <w:color w:val="004366"/>
          <w:sz w:val="40"/>
          <w:szCs w:val="40"/>
        </w:rPr>
        <w:t xml:space="preserve"> </w:t>
      </w:r>
      <w:r w:rsidRPr="00B82B1D">
        <w:rPr>
          <w:rFonts w:ascii="Arial" w:hAnsi="Arial" w:cs="Arial"/>
          <w:color w:val="004366"/>
          <w:sz w:val="40"/>
          <w:szCs w:val="40"/>
        </w:rPr>
        <w:t>europeia | 9.2. As transformações políticas, económicas, sociais e culturais do</w:t>
      </w:r>
      <w:r>
        <w:rPr>
          <w:rFonts w:ascii="Arial" w:hAnsi="Arial" w:cs="Arial"/>
          <w:color w:val="004366"/>
          <w:sz w:val="40"/>
          <w:szCs w:val="40"/>
        </w:rPr>
        <w:t xml:space="preserve"> </w:t>
      </w:r>
      <w:r w:rsidRPr="00B82B1D">
        <w:rPr>
          <w:rFonts w:ascii="Arial" w:hAnsi="Arial" w:cs="Arial"/>
          <w:color w:val="004366"/>
          <w:sz w:val="40"/>
          <w:szCs w:val="40"/>
        </w:rPr>
        <w:t>após-guerra</w:t>
      </w:r>
    </w:p>
    <w:p w14:paraId="2514FACB" w14:textId="77777777" w:rsidR="00B82B1D" w:rsidRDefault="00B82B1D" w:rsidP="00B82B1D">
      <w:pPr>
        <w:autoSpaceDE w:val="0"/>
        <w:autoSpaceDN w:val="0"/>
        <w:adjustRightInd w:val="0"/>
        <w:rPr>
          <w:rFonts w:ascii="Arial" w:hAnsi="Arial" w:cs="Arial"/>
          <w:b/>
          <w:bCs/>
          <w:color w:val="CD9A00"/>
          <w:sz w:val="28"/>
          <w:szCs w:val="28"/>
        </w:rPr>
        <w:sectPr w:rsidR="00B82B1D" w:rsidSect="002011E4">
          <w:type w:val="continuous"/>
          <w:pgSz w:w="11906" w:h="16838"/>
          <w:pgMar w:top="1135" w:right="991" w:bottom="851" w:left="1134" w:header="708" w:footer="708" w:gutter="0"/>
          <w:cols w:space="427"/>
          <w:docGrid w:linePitch="360"/>
        </w:sectPr>
      </w:pPr>
    </w:p>
    <w:p w14:paraId="30E5FB6A" w14:textId="77777777" w:rsidR="00B82B1D" w:rsidRPr="00B82B1D" w:rsidRDefault="00B82B1D" w:rsidP="0045653D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bCs/>
          <w:color w:val="CD9A00"/>
          <w:sz w:val="28"/>
          <w:szCs w:val="28"/>
        </w:rPr>
      </w:pPr>
      <w:r w:rsidRPr="00B82B1D">
        <w:rPr>
          <w:rFonts w:ascii="Arial" w:hAnsi="Arial" w:cs="Arial"/>
          <w:b/>
          <w:bCs/>
          <w:color w:val="CD9A00"/>
          <w:sz w:val="28"/>
          <w:szCs w:val="28"/>
        </w:rPr>
        <w:lastRenderedPageBreak/>
        <w:t>GRUPO I</w:t>
      </w:r>
    </w:p>
    <w:p w14:paraId="01EAD7CB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b/>
          <w:bCs/>
          <w:color w:val="004366"/>
          <w:sz w:val="21"/>
          <w:szCs w:val="21"/>
        </w:rPr>
        <w:t xml:space="preserve">1.1. </w:t>
      </w:r>
      <w:r w:rsidRPr="0045653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F </w:t>
      </w:r>
      <w:r w:rsidRPr="0045653D">
        <w:rPr>
          <w:rFonts w:ascii="Arial" w:hAnsi="Arial" w:cs="Arial"/>
          <w:color w:val="000000"/>
          <w:sz w:val="21"/>
          <w:szCs w:val="21"/>
        </w:rPr>
        <w:t>África foi o continente mais disputado pelas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potências coloniais americanas, dada a sua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riqueza natural.</w:t>
      </w:r>
    </w:p>
    <w:p w14:paraId="296548C2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ind w:left="426" w:hanging="142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V </w:t>
      </w:r>
      <w:r w:rsidRPr="0045653D">
        <w:rPr>
          <w:rFonts w:ascii="Arial" w:hAnsi="Arial" w:cs="Arial"/>
          <w:color w:val="000000"/>
          <w:sz w:val="21"/>
          <w:szCs w:val="21"/>
        </w:rPr>
        <w:t xml:space="preserve">A </w:t>
      </w:r>
      <w:r w:rsidRPr="0045653D">
        <w:rPr>
          <w:rFonts w:ascii="Arial" w:hAnsi="Arial" w:cs="Arial"/>
          <w:i/>
          <w:color w:val="000000"/>
          <w:sz w:val="21"/>
          <w:szCs w:val="21"/>
        </w:rPr>
        <w:t xml:space="preserve">Conferência de Berlim </w:t>
      </w:r>
      <w:r w:rsidRPr="0045653D">
        <w:rPr>
          <w:rFonts w:ascii="Arial" w:hAnsi="Arial" w:cs="Arial"/>
          <w:color w:val="000000"/>
          <w:sz w:val="21"/>
          <w:szCs w:val="21"/>
        </w:rPr>
        <w:t>(1884-1885) foi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realizada com o objetivo de regular a corrida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às áreas de influência e resultou numa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autêntica partilha de África.</w:t>
      </w:r>
    </w:p>
    <w:p w14:paraId="2DA5154B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ind w:left="426" w:hanging="142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V </w:t>
      </w:r>
      <w:r w:rsidRPr="0045653D">
        <w:rPr>
          <w:rFonts w:ascii="Arial" w:hAnsi="Arial" w:cs="Arial"/>
          <w:color w:val="000000"/>
          <w:sz w:val="21"/>
          <w:szCs w:val="21"/>
        </w:rPr>
        <w:t xml:space="preserve">A </w:t>
      </w:r>
      <w:r w:rsidRPr="0045653D">
        <w:rPr>
          <w:rFonts w:ascii="Arial" w:hAnsi="Arial" w:cs="Arial"/>
          <w:i/>
          <w:color w:val="000000"/>
          <w:sz w:val="21"/>
          <w:szCs w:val="21"/>
        </w:rPr>
        <w:t>Conferência</w:t>
      </w:r>
      <w:r w:rsidRPr="0045653D"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i/>
          <w:color w:val="000000"/>
          <w:sz w:val="21"/>
          <w:szCs w:val="21"/>
        </w:rPr>
        <w:t>de</w:t>
      </w:r>
      <w:r w:rsidRPr="0045653D"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i/>
          <w:color w:val="000000"/>
          <w:sz w:val="21"/>
          <w:szCs w:val="21"/>
        </w:rPr>
        <w:t>Berlim</w:t>
      </w:r>
      <w:r w:rsidRPr="0045653D">
        <w:rPr>
          <w:rFonts w:ascii="Arial" w:hAnsi="Arial" w:cs="Arial"/>
          <w:color w:val="000000"/>
          <w:sz w:val="21"/>
          <w:szCs w:val="21"/>
        </w:rPr>
        <w:t xml:space="preserve"> significou o triunfo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da Inglaterra em África.</w:t>
      </w:r>
    </w:p>
    <w:p w14:paraId="312EAE6C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ind w:left="426" w:hanging="142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F </w:t>
      </w:r>
      <w:r w:rsidRPr="0045653D">
        <w:rPr>
          <w:rFonts w:ascii="Arial" w:hAnsi="Arial" w:cs="Arial"/>
          <w:color w:val="000000"/>
          <w:sz w:val="21"/>
          <w:szCs w:val="21"/>
        </w:rPr>
        <w:t>Segundo o conteúdo da fonte B, Portugal foi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um dos países mais beneficiados pelas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decisões tomadas.</w:t>
      </w:r>
    </w:p>
    <w:p w14:paraId="66E62658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ind w:left="426" w:hanging="142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V </w:t>
      </w:r>
      <w:r w:rsidRPr="0045653D">
        <w:rPr>
          <w:rFonts w:ascii="Arial" w:hAnsi="Arial" w:cs="Arial"/>
          <w:color w:val="000000"/>
          <w:sz w:val="21"/>
          <w:szCs w:val="21"/>
        </w:rPr>
        <w:t>As reivindicações portuguesas (</w:t>
      </w:r>
      <w:r w:rsidRPr="0045653D">
        <w:rPr>
          <w:rFonts w:ascii="Arial" w:hAnsi="Arial" w:cs="Arial"/>
          <w:i/>
          <w:color w:val="000000"/>
          <w:sz w:val="21"/>
          <w:szCs w:val="21"/>
        </w:rPr>
        <w:t>Mapa Cor-de-Rosa</w:t>
      </w:r>
      <w:r w:rsidRPr="0045653D">
        <w:rPr>
          <w:rFonts w:ascii="Arial" w:hAnsi="Arial" w:cs="Arial"/>
          <w:color w:val="000000"/>
          <w:sz w:val="21"/>
          <w:szCs w:val="21"/>
        </w:rPr>
        <w:t>) colidiram com os interesses ingleses.</w:t>
      </w:r>
    </w:p>
    <w:p w14:paraId="2659F841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ind w:left="426" w:hanging="142"/>
        <w:rPr>
          <w:rFonts w:ascii="Arial" w:hAnsi="Arial" w:cs="Arial"/>
          <w:i/>
          <w:iCs/>
          <w:color w:val="000000"/>
          <w:sz w:val="18"/>
          <w:szCs w:val="18"/>
        </w:rPr>
      </w:pPr>
      <w:r w:rsidRPr="0045653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F </w:t>
      </w:r>
      <w:r w:rsidRPr="0045653D">
        <w:rPr>
          <w:rFonts w:ascii="Arial" w:hAnsi="Arial" w:cs="Arial"/>
          <w:color w:val="000000"/>
          <w:sz w:val="21"/>
          <w:szCs w:val="21"/>
        </w:rPr>
        <w:t xml:space="preserve">O governo Português resistiu ao </w:t>
      </w:r>
      <w:r w:rsidRPr="0045653D">
        <w:rPr>
          <w:rFonts w:ascii="Arial" w:hAnsi="Arial" w:cs="Arial"/>
          <w:i/>
          <w:color w:val="000000"/>
          <w:sz w:val="21"/>
          <w:szCs w:val="21"/>
        </w:rPr>
        <w:t>Ultimato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i/>
          <w:color w:val="000000"/>
          <w:sz w:val="21"/>
          <w:szCs w:val="21"/>
        </w:rPr>
        <w:t>Inglês</w:t>
      </w:r>
      <w:r w:rsidRPr="0045653D">
        <w:rPr>
          <w:rFonts w:ascii="Arial" w:hAnsi="Arial" w:cs="Arial"/>
          <w:i/>
          <w:iCs/>
          <w:color w:val="000000"/>
          <w:sz w:val="18"/>
          <w:szCs w:val="18"/>
        </w:rPr>
        <w:t>.</w:t>
      </w:r>
    </w:p>
    <w:p w14:paraId="649599DF" w14:textId="77777777" w:rsidR="0045653D" w:rsidRPr="0045653D" w:rsidRDefault="0045653D" w:rsidP="0045653D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b/>
          <w:bCs/>
          <w:color w:val="004366"/>
          <w:sz w:val="21"/>
          <w:szCs w:val="21"/>
        </w:rPr>
        <w:t xml:space="preserve">2.1. </w:t>
      </w:r>
      <w:r w:rsidRPr="0045653D">
        <w:rPr>
          <w:rFonts w:ascii="Arial" w:hAnsi="Arial" w:cs="Arial"/>
          <w:color w:val="000000"/>
          <w:sz w:val="21"/>
          <w:szCs w:val="21"/>
        </w:rPr>
        <w:t>A concorrência comercial entre as potências</w:t>
      </w:r>
    </w:p>
    <w:p w14:paraId="5A3CEC0F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europeias levou-as a procurar locais com</w:t>
      </w:r>
    </w:p>
    <w:p w14:paraId="6E38D270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matérias-primas mais baratas, começando</w:t>
      </w:r>
    </w:p>
    <w:p w14:paraId="14EE0E79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então a disputar entre si a posse de territórios.</w:t>
      </w:r>
    </w:p>
    <w:p w14:paraId="0BADEE22" w14:textId="77777777" w:rsidR="0045653D" w:rsidRPr="0045653D" w:rsidRDefault="0045653D" w:rsidP="0045653D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b/>
          <w:bCs/>
          <w:color w:val="004366"/>
          <w:sz w:val="21"/>
          <w:szCs w:val="21"/>
        </w:rPr>
        <w:t xml:space="preserve">2.2. </w:t>
      </w:r>
      <w:r w:rsidRPr="0045653D">
        <w:rPr>
          <w:rFonts w:ascii="Arial" w:hAnsi="Arial" w:cs="Arial"/>
          <w:color w:val="000000"/>
          <w:sz w:val="21"/>
          <w:szCs w:val="21"/>
        </w:rPr>
        <w:t>A fonte E, porque retrata o assassinato do</w:t>
      </w:r>
    </w:p>
    <w:p w14:paraId="2A954E58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arquiduque Francisco Fernando, herdeiro do</w:t>
      </w:r>
    </w:p>
    <w:p w14:paraId="3CEB3E17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trono do Império Austro-Húngaro, por um</w:t>
      </w:r>
    </w:p>
    <w:p w14:paraId="27B9D412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estudante sérvio. A Sérvia situava-se num</w:t>
      </w:r>
    </w:p>
    <w:p w14:paraId="1F09769B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território que há anos era disputado entre a</w:t>
      </w:r>
    </w:p>
    <w:p w14:paraId="4917D766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Rússia e a Áustria-Hungria. A Sérvia era aliada</w:t>
      </w:r>
    </w:p>
    <w:p w14:paraId="32AF3BA6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da Rússia e inimiga da Áustria. Como um sérvio</w:t>
      </w:r>
    </w:p>
    <w:p w14:paraId="07900FBF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assassinou o herdeiro ao trono da Áustria, esta</w:t>
      </w:r>
    </w:p>
    <w:p w14:paraId="3CB8CDF5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declarou guerra à Sérvia. A Rússia apoiou a</w:t>
      </w:r>
    </w:p>
    <w:p w14:paraId="18C1F2FE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Sérvia e foi ativado o sistema de alianças</w:t>
      </w:r>
    </w:p>
    <w:p w14:paraId="6393BC95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levando a sucessivas declarações de guerra</w:t>
      </w:r>
    </w:p>
    <w:p w14:paraId="35B696D1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lastRenderedPageBreak/>
        <w:t>entre os países da Tríplice Aliança e da Tríplice</w:t>
      </w:r>
    </w:p>
    <w:p w14:paraId="38C49EFA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Entente. A Europa entrou em guerra.</w:t>
      </w:r>
    </w:p>
    <w:p w14:paraId="6A13A87F" w14:textId="77777777" w:rsidR="0045653D" w:rsidRPr="0045653D" w:rsidRDefault="0045653D" w:rsidP="0045653D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b/>
          <w:bCs/>
          <w:color w:val="004366"/>
          <w:sz w:val="21"/>
          <w:szCs w:val="21"/>
        </w:rPr>
        <w:t xml:space="preserve">2.3. </w:t>
      </w:r>
      <w:r w:rsidRPr="0045653D">
        <w:rPr>
          <w:rFonts w:ascii="Arial" w:hAnsi="Arial" w:cs="Arial"/>
          <w:color w:val="000000"/>
          <w:sz w:val="21"/>
          <w:szCs w:val="21"/>
        </w:rPr>
        <w:t>A entrada dos Estados Unidos da América na</w:t>
      </w:r>
    </w:p>
    <w:p w14:paraId="0F33FB83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1.ª Guerra significou uma grande vantagem</w:t>
      </w:r>
    </w:p>
    <w:p w14:paraId="58448F3B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para os Aliados, quer pelo apoio financeiro,</w:t>
      </w:r>
    </w:p>
    <w:p w14:paraId="59379E94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quer pela participação de cerca de um milhão</w:t>
      </w:r>
    </w:p>
    <w:p w14:paraId="45CB6CEE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de soldados e de armamento que este país</w:t>
      </w:r>
    </w:p>
    <w:p w14:paraId="281EC625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forneceu durante os anos do conflito.</w:t>
      </w:r>
    </w:p>
    <w:p w14:paraId="3FA4518F" w14:textId="77777777" w:rsidR="0045653D" w:rsidRPr="0045653D" w:rsidRDefault="0045653D" w:rsidP="0045653D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b/>
          <w:bCs/>
          <w:color w:val="004366"/>
          <w:sz w:val="21"/>
          <w:szCs w:val="21"/>
        </w:rPr>
        <w:t xml:space="preserve">2.4. </w:t>
      </w:r>
      <w:r w:rsidRPr="0045653D">
        <w:rPr>
          <w:rFonts w:ascii="Arial" w:hAnsi="Arial" w:cs="Arial"/>
          <w:color w:val="000000"/>
          <w:sz w:val="21"/>
          <w:szCs w:val="21"/>
        </w:rPr>
        <w:t>A 1.ª Grande Guerra custou milhões de vidas;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perdas materiais (destruição de cidades inteiras,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casas, pontes, fábricas, campos de cultivo); falta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de bens, subida dos preços e inflação; milhares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45653D">
        <w:rPr>
          <w:rFonts w:ascii="Arial" w:hAnsi="Arial" w:cs="Arial"/>
          <w:color w:val="000000"/>
          <w:sz w:val="21"/>
          <w:szCs w:val="21"/>
        </w:rPr>
        <w:t>de refugiados, etc.</w:t>
      </w:r>
    </w:p>
    <w:p w14:paraId="1DD9A5CE" w14:textId="77777777" w:rsidR="0045653D" w:rsidRPr="0045653D" w:rsidRDefault="0045653D" w:rsidP="0045653D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bCs/>
          <w:color w:val="CD9A00"/>
          <w:sz w:val="28"/>
          <w:szCs w:val="28"/>
        </w:rPr>
      </w:pPr>
      <w:r w:rsidRPr="0045653D">
        <w:rPr>
          <w:rFonts w:ascii="Arial" w:hAnsi="Arial" w:cs="Arial"/>
          <w:b/>
          <w:bCs/>
          <w:color w:val="CD9A00"/>
          <w:sz w:val="28"/>
          <w:szCs w:val="28"/>
        </w:rPr>
        <w:t>GRUPO II</w:t>
      </w:r>
    </w:p>
    <w:p w14:paraId="41BA94EC" w14:textId="77777777" w:rsidR="0045653D" w:rsidRPr="0045653D" w:rsidRDefault="0045653D" w:rsidP="0045653D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b/>
          <w:bCs/>
          <w:color w:val="004366"/>
          <w:sz w:val="21"/>
          <w:szCs w:val="21"/>
        </w:rPr>
        <w:t xml:space="preserve">3.1. </w:t>
      </w:r>
      <w:r w:rsidRPr="0045653D">
        <w:rPr>
          <w:rFonts w:ascii="Arial" w:hAnsi="Arial" w:cs="Arial"/>
          <w:color w:val="000000"/>
          <w:sz w:val="21"/>
          <w:szCs w:val="21"/>
        </w:rPr>
        <w:t>A fonte aborda a questão da igualdade de</w:t>
      </w:r>
    </w:p>
    <w:p w14:paraId="2DEFE758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género na atualidade, apresentando dados</w:t>
      </w:r>
    </w:p>
    <w:p w14:paraId="678AEAFD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sobre a posição de Portugal, segundo o Índice</w:t>
      </w:r>
    </w:p>
    <w:p w14:paraId="5765EBD0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Global das Diferenças de Género.</w:t>
      </w:r>
    </w:p>
    <w:p w14:paraId="7C1466B9" w14:textId="77777777" w:rsidR="0045653D" w:rsidRPr="0045653D" w:rsidRDefault="0045653D" w:rsidP="0045653D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b/>
          <w:bCs/>
          <w:color w:val="004366"/>
          <w:sz w:val="21"/>
          <w:szCs w:val="21"/>
        </w:rPr>
        <w:t xml:space="preserve">3.2. </w:t>
      </w:r>
      <w:r w:rsidRPr="0045653D">
        <w:rPr>
          <w:rFonts w:ascii="Arial" w:hAnsi="Arial" w:cs="Arial"/>
          <w:color w:val="000000"/>
          <w:sz w:val="21"/>
          <w:szCs w:val="21"/>
        </w:rPr>
        <w:t>A luta pela igualdade de género e de</w:t>
      </w:r>
    </w:p>
    <w:p w14:paraId="35B5B115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oportunidade entre os sexos, iniciada nas</w:t>
      </w:r>
    </w:p>
    <w:p w14:paraId="16573F6F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primeiras décadas do século XX, primeiro pelo</w:t>
      </w:r>
    </w:p>
    <w:p w14:paraId="2C293FC5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direito ao trabalho, ao voto, ao ensino, etc.,</w:t>
      </w:r>
    </w:p>
    <w:p w14:paraId="4580361E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encontra-se ainda em vigor, mas a outro nível.</w:t>
      </w:r>
    </w:p>
    <w:p w14:paraId="62A8F6A9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Se no século XX, a luta se focalizou no acesso</w:t>
      </w:r>
    </w:p>
    <w:p w14:paraId="070BA277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feminino ao mundo que era dominado pelo</w:t>
      </w:r>
    </w:p>
    <w:p w14:paraId="64646660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homem, hoje a luta é diferente, centra-se na</w:t>
      </w:r>
    </w:p>
    <w:p w14:paraId="7AB86516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igualdade de condições, como se lê na fonte:</w:t>
      </w:r>
    </w:p>
    <w:p w14:paraId="0F0AF2A2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“o peso de homens e mulheres no mercado de</w:t>
      </w:r>
    </w:p>
    <w:p w14:paraId="320AEB39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trabalho, em cargos de chefia, nos parlamentos</w:t>
      </w:r>
    </w:p>
    <w:p w14:paraId="67EEB04A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e nos ministérios, as disparidades de</w:t>
      </w:r>
    </w:p>
    <w:p w14:paraId="4AEDE4C5" w14:textId="77777777" w:rsidR="0045653D" w:rsidRPr="0045653D" w:rsidRDefault="0045653D" w:rsidP="0045653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5653D">
        <w:rPr>
          <w:rFonts w:ascii="Arial" w:hAnsi="Arial" w:cs="Arial"/>
          <w:color w:val="000000"/>
          <w:sz w:val="21"/>
          <w:szCs w:val="21"/>
        </w:rPr>
        <w:t>rendimentos, de níveis de escolaridade e de</w:t>
      </w:r>
    </w:p>
    <w:p w14:paraId="236E23E6" w14:textId="77777777" w:rsidR="0045653D" w:rsidRDefault="0045653D" w:rsidP="0045653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1"/>
          <w:szCs w:val="21"/>
        </w:rPr>
        <w:sectPr w:rsidR="0045653D" w:rsidSect="00B82B1D">
          <w:type w:val="continuous"/>
          <w:pgSz w:w="11906" w:h="16838"/>
          <w:pgMar w:top="1135" w:right="991" w:bottom="851" w:left="1134" w:header="708" w:footer="708" w:gutter="0"/>
          <w:cols w:num="2" w:space="427"/>
          <w:docGrid w:linePitch="360"/>
        </w:sectPr>
      </w:pPr>
      <w:r w:rsidRPr="0045653D">
        <w:rPr>
          <w:rFonts w:ascii="Arial" w:hAnsi="Arial" w:cs="Arial"/>
          <w:color w:val="000000"/>
          <w:sz w:val="21"/>
          <w:szCs w:val="21"/>
        </w:rPr>
        <w:t>esperança de vida”.</w:t>
      </w:r>
      <w:r w:rsidR="00B82B1D">
        <w:rPr>
          <w:rFonts w:ascii="Arial" w:hAnsi="Arial" w:cs="Arial"/>
          <w:color w:val="000000"/>
          <w:sz w:val="21"/>
          <w:szCs w:val="21"/>
        </w:rPr>
        <w:br w:type="page"/>
      </w:r>
    </w:p>
    <w:p w14:paraId="5363E939" w14:textId="77777777" w:rsidR="0045653D" w:rsidRDefault="0045653D" w:rsidP="0045653D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/>
          <w:bCs/>
          <w:color w:val="004366"/>
          <w:sz w:val="21"/>
          <w:szCs w:val="21"/>
        </w:rPr>
      </w:pPr>
      <w:r>
        <w:rPr>
          <w:rFonts w:ascii="Arial" w:hAnsi="Arial" w:cs="Arial"/>
          <w:b/>
        </w:rPr>
        <w:lastRenderedPageBreak/>
        <w:t xml:space="preserve"> </w:t>
      </w:r>
      <w:r>
        <w:rPr>
          <w:rFonts w:ascii="Arial" w:hAnsi="Arial" w:cs="Arial"/>
          <w:b/>
          <w:bCs/>
          <w:color w:val="004366"/>
          <w:sz w:val="21"/>
          <w:szCs w:val="21"/>
        </w:rPr>
        <w:t>4.</w:t>
      </w:r>
    </w:p>
    <w:p w14:paraId="3AF7122A" w14:textId="77777777" w:rsidR="0045653D" w:rsidRDefault="0045653D" w:rsidP="0045653D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/>
          <w:bCs/>
          <w:color w:val="004366"/>
          <w:sz w:val="21"/>
          <w:szCs w:val="21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675"/>
        <w:gridCol w:w="1807"/>
        <w:gridCol w:w="1808"/>
        <w:gridCol w:w="1807"/>
        <w:gridCol w:w="1808"/>
        <w:gridCol w:w="1808"/>
      </w:tblGrid>
      <w:tr w:rsidR="0045653D" w:rsidRPr="0045653D" w14:paraId="5630D80C" w14:textId="77777777" w:rsidTr="0045653D">
        <w:tc>
          <w:tcPr>
            <w:tcW w:w="675" w:type="dxa"/>
            <w:shd w:val="clear" w:color="auto" w:fill="EEECE1" w:themeFill="background2"/>
            <w:vAlign w:val="center"/>
          </w:tcPr>
          <w:p w14:paraId="3380A2A9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Anos</w:t>
            </w:r>
          </w:p>
        </w:tc>
        <w:tc>
          <w:tcPr>
            <w:tcW w:w="1807" w:type="dxa"/>
            <w:shd w:val="clear" w:color="auto" w:fill="EEECE1" w:themeFill="background2"/>
            <w:vAlign w:val="center"/>
          </w:tcPr>
          <w:p w14:paraId="68ECF938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1905</w:t>
            </w:r>
          </w:p>
        </w:tc>
        <w:tc>
          <w:tcPr>
            <w:tcW w:w="1808" w:type="dxa"/>
            <w:shd w:val="clear" w:color="auto" w:fill="EEECE1" w:themeFill="background2"/>
            <w:vAlign w:val="center"/>
          </w:tcPr>
          <w:p w14:paraId="6621D2A7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1914</w:t>
            </w:r>
          </w:p>
        </w:tc>
        <w:tc>
          <w:tcPr>
            <w:tcW w:w="1807" w:type="dxa"/>
            <w:shd w:val="clear" w:color="auto" w:fill="EEECE1" w:themeFill="background2"/>
            <w:vAlign w:val="center"/>
          </w:tcPr>
          <w:p w14:paraId="3A9B2D6E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1917</w:t>
            </w:r>
          </w:p>
        </w:tc>
        <w:tc>
          <w:tcPr>
            <w:tcW w:w="1808" w:type="dxa"/>
            <w:shd w:val="clear" w:color="auto" w:fill="EEECE1" w:themeFill="background2"/>
            <w:vAlign w:val="center"/>
          </w:tcPr>
          <w:p w14:paraId="6E2AA9DA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1918</w:t>
            </w:r>
          </w:p>
        </w:tc>
        <w:tc>
          <w:tcPr>
            <w:tcW w:w="1808" w:type="dxa"/>
            <w:shd w:val="clear" w:color="auto" w:fill="EEECE1" w:themeFill="background2"/>
            <w:vAlign w:val="center"/>
          </w:tcPr>
          <w:p w14:paraId="75C308AD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1919</w:t>
            </w:r>
          </w:p>
        </w:tc>
      </w:tr>
      <w:tr w:rsidR="0045653D" w:rsidRPr="0045653D" w14:paraId="0B27AD35" w14:textId="77777777" w:rsidTr="0045653D">
        <w:trPr>
          <w:cantSplit/>
          <w:trHeight w:val="1134"/>
        </w:trPr>
        <w:tc>
          <w:tcPr>
            <w:tcW w:w="675" w:type="dxa"/>
            <w:shd w:val="clear" w:color="auto" w:fill="EEECE1" w:themeFill="background2"/>
            <w:textDirection w:val="btLr"/>
            <w:vAlign w:val="center"/>
          </w:tcPr>
          <w:p w14:paraId="2ADD204C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Acontecimentos</w:t>
            </w:r>
          </w:p>
        </w:tc>
        <w:tc>
          <w:tcPr>
            <w:tcW w:w="1807" w:type="dxa"/>
          </w:tcPr>
          <w:p w14:paraId="002CD895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Domingo Sangrento</w:t>
            </w:r>
          </w:p>
          <w:p w14:paraId="537D7EDB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10787047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 xml:space="preserve">Exposição </w:t>
            </w:r>
            <w:bookmarkStart w:id="0" w:name="_GoBack"/>
            <w:r w:rsidRPr="00CD1F4A">
              <w:rPr>
                <w:rFonts w:ascii="Arial" w:hAnsi="Arial" w:cs="Arial"/>
                <w:i/>
                <w:sz w:val="14"/>
                <w:szCs w:val="14"/>
              </w:rPr>
              <w:t>Fauvismo</w:t>
            </w:r>
            <w:r w:rsidRPr="0045653D">
              <w:rPr>
                <w:rFonts w:ascii="Arial" w:hAnsi="Arial" w:cs="Arial"/>
                <w:sz w:val="14"/>
                <w:szCs w:val="14"/>
              </w:rPr>
              <w:t xml:space="preserve"> </w:t>
            </w:r>
            <w:bookmarkEnd w:id="0"/>
            <w:r w:rsidRPr="0045653D">
              <w:rPr>
                <w:rFonts w:ascii="Arial" w:hAnsi="Arial" w:cs="Arial"/>
                <w:sz w:val="14"/>
                <w:szCs w:val="14"/>
              </w:rPr>
              <w:t>em</w:t>
            </w:r>
          </w:p>
          <w:p w14:paraId="7778180D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Paris</w:t>
            </w:r>
          </w:p>
        </w:tc>
        <w:tc>
          <w:tcPr>
            <w:tcW w:w="1808" w:type="dxa"/>
          </w:tcPr>
          <w:p w14:paraId="553F96C5" w14:textId="77777777" w:rsidR="0045653D" w:rsidRPr="0045653D" w:rsidRDefault="0045653D" w:rsidP="0045653D">
            <w:pPr>
              <w:spacing w:before="120" w:line="276" w:lineRule="auto"/>
              <w:rPr>
                <w:rFonts w:ascii="Arial" w:hAnsi="Arial" w:cs="Arial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Início da 1.ª Guerra Mundial</w:t>
            </w:r>
          </w:p>
        </w:tc>
        <w:tc>
          <w:tcPr>
            <w:tcW w:w="1807" w:type="dxa"/>
          </w:tcPr>
          <w:p w14:paraId="0387DAB6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Revolução de Fevereiro (Rússia)</w:t>
            </w:r>
          </w:p>
          <w:p w14:paraId="0DDE351D" w14:textId="77777777" w:rsid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20A84778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72CA8754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Revolução de Outubro (Rússia)</w:t>
            </w:r>
          </w:p>
        </w:tc>
        <w:tc>
          <w:tcPr>
            <w:tcW w:w="1808" w:type="dxa"/>
          </w:tcPr>
          <w:p w14:paraId="5EB69F52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Fim da 1.ª Guerra Mundial</w:t>
            </w:r>
          </w:p>
          <w:p w14:paraId="1F0AE5BB" w14:textId="77777777" w:rsid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Início da guerra civil na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5653D">
              <w:rPr>
                <w:rFonts w:ascii="Arial" w:hAnsi="Arial" w:cs="Arial"/>
                <w:sz w:val="14"/>
                <w:szCs w:val="14"/>
              </w:rPr>
              <w:t>Rússia</w:t>
            </w:r>
          </w:p>
          <w:p w14:paraId="001C01B7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</w:p>
          <w:p w14:paraId="4D7A8798" w14:textId="77777777" w:rsidR="00CD1F4A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Tratado de Brest-</w:t>
            </w:r>
          </w:p>
          <w:p w14:paraId="70B0C24F" w14:textId="77777777" w:rsidR="0045653D" w:rsidRDefault="00CD1F4A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="0045653D"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Litovsk</w:t>
            </w:r>
          </w:p>
          <w:p w14:paraId="481B5519" w14:textId="77777777" w:rsidR="00CD1F4A" w:rsidRPr="0045653D" w:rsidRDefault="00CD1F4A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  <w:p w14:paraId="5B9C786C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(Rússia retira-se da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</w:t>
            </w: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Grande Guerra)</w:t>
            </w:r>
          </w:p>
          <w:p w14:paraId="1CC4A6FF" w14:textId="77777777" w:rsidR="0045653D" w:rsidRPr="0045653D" w:rsidRDefault="0045653D" w:rsidP="0045653D">
            <w:pPr>
              <w:spacing w:before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8" w:type="dxa"/>
          </w:tcPr>
          <w:p w14:paraId="3F473D5C" w14:textId="77777777" w:rsid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Tratado de Versalhes</w:t>
            </w:r>
          </w:p>
          <w:p w14:paraId="2B09B928" w14:textId="77777777" w:rsid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</w:p>
          <w:p w14:paraId="2F10F8FE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</w:p>
          <w:p w14:paraId="392CEA5C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 xml:space="preserve">Criação da </w:t>
            </w:r>
            <w:r w:rsidRPr="0045653D">
              <w:rPr>
                <w:rFonts w:ascii="Arial" w:hAnsi="Arial" w:cs="Arial"/>
                <w:i/>
                <w:sz w:val="14"/>
                <w:szCs w:val="14"/>
              </w:rPr>
              <w:t>Sociedade das Nações</w:t>
            </w:r>
          </w:p>
        </w:tc>
      </w:tr>
    </w:tbl>
    <w:p w14:paraId="0C2C7F4E" w14:textId="77777777" w:rsidR="0045653D" w:rsidRDefault="0045653D" w:rsidP="0045653D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/>
        </w:rPr>
        <w:sectPr w:rsidR="0045653D" w:rsidSect="0045653D">
          <w:type w:val="continuous"/>
          <w:pgSz w:w="11906" w:h="16838"/>
          <w:pgMar w:top="1135" w:right="991" w:bottom="851" w:left="1134" w:header="708" w:footer="708" w:gutter="0"/>
          <w:cols w:space="427"/>
          <w:docGrid w:linePitch="360"/>
        </w:sectPr>
      </w:pPr>
    </w:p>
    <w:p w14:paraId="221C9DE4" w14:textId="77777777" w:rsidR="004871C1" w:rsidRDefault="004871C1" w:rsidP="004871C1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/>
        </w:rPr>
      </w:pPr>
    </w:p>
    <w:tbl>
      <w:tblPr>
        <w:tblStyle w:val="Tablaconcuadrcula"/>
        <w:tblW w:w="9747" w:type="dxa"/>
        <w:tblInd w:w="284" w:type="dxa"/>
        <w:tblLook w:val="04A0" w:firstRow="1" w:lastRow="0" w:firstColumn="1" w:lastColumn="0" w:noHBand="0" w:noVBand="1"/>
      </w:tblPr>
      <w:tblGrid>
        <w:gridCol w:w="1624"/>
        <w:gridCol w:w="1625"/>
        <w:gridCol w:w="1624"/>
        <w:gridCol w:w="1625"/>
        <w:gridCol w:w="1624"/>
        <w:gridCol w:w="1625"/>
      </w:tblGrid>
      <w:tr w:rsidR="0045653D" w:rsidRPr="0045653D" w14:paraId="7ABD78DB" w14:textId="77777777" w:rsidTr="0045653D">
        <w:tc>
          <w:tcPr>
            <w:tcW w:w="1624" w:type="dxa"/>
            <w:shd w:val="clear" w:color="auto" w:fill="EEECE1" w:themeFill="background2"/>
            <w:vAlign w:val="center"/>
          </w:tcPr>
          <w:p w14:paraId="3EE20367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1920</w:t>
            </w:r>
          </w:p>
        </w:tc>
        <w:tc>
          <w:tcPr>
            <w:tcW w:w="1625" w:type="dxa"/>
            <w:shd w:val="clear" w:color="auto" w:fill="EEECE1" w:themeFill="background2"/>
            <w:vAlign w:val="center"/>
          </w:tcPr>
          <w:p w14:paraId="7FA95C82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1921</w:t>
            </w:r>
          </w:p>
        </w:tc>
        <w:tc>
          <w:tcPr>
            <w:tcW w:w="1624" w:type="dxa"/>
            <w:shd w:val="clear" w:color="auto" w:fill="EEECE1" w:themeFill="background2"/>
            <w:vAlign w:val="center"/>
          </w:tcPr>
          <w:p w14:paraId="1F4EDC1E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1922</w:t>
            </w:r>
          </w:p>
        </w:tc>
        <w:tc>
          <w:tcPr>
            <w:tcW w:w="1625" w:type="dxa"/>
            <w:shd w:val="clear" w:color="auto" w:fill="EEECE1" w:themeFill="background2"/>
            <w:vAlign w:val="center"/>
          </w:tcPr>
          <w:p w14:paraId="2F5F2C2A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1924</w:t>
            </w:r>
          </w:p>
        </w:tc>
        <w:tc>
          <w:tcPr>
            <w:tcW w:w="1624" w:type="dxa"/>
            <w:shd w:val="clear" w:color="auto" w:fill="EEECE1" w:themeFill="background2"/>
            <w:vAlign w:val="center"/>
          </w:tcPr>
          <w:p w14:paraId="712E02C0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1927</w:t>
            </w:r>
          </w:p>
        </w:tc>
        <w:tc>
          <w:tcPr>
            <w:tcW w:w="1625" w:type="dxa"/>
            <w:shd w:val="clear" w:color="auto" w:fill="EEECE1" w:themeFill="background2"/>
            <w:vAlign w:val="center"/>
          </w:tcPr>
          <w:p w14:paraId="0D2C6222" w14:textId="77777777" w:rsidR="0045653D" w:rsidRPr="0045653D" w:rsidRDefault="0045653D" w:rsidP="0045653D">
            <w:pPr>
              <w:spacing w:before="120" w:after="120" w:line="276" w:lineRule="auto"/>
              <w:jc w:val="center"/>
              <w:rPr>
                <w:rFonts w:ascii="Arial" w:hAnsi="Arial" w:cs="Arial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</w:rPr>
              <w:t>1932</w:t>
            </w:r>
          </w:p>
        </w:tc>
      </w:tr>
      <w:tr w:rsidR="0045653D" w:rsidRPr="0045653D" w14:paraId="768A76B6" w14:textId="77777777" w:rsidTr="0045653D">
        <w:trPr>
          <w:cantSplit/>
          <w:trHeight w:val="1134"/>
        </w:trPr>
        <w:tc>
          <w:tcPr>
            <w:tcW w:w="1624" w:type="dxa"/>
          </w:tcPr>
          <w:p w14:paraId="51D266D7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u w:val="single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Comunismo de guerra na Rússia</w:t>
            </w:r>
          </w:p>
        </w:tc>
        <w:tc>
          <w:tcPr>
            <w:tcW w:w="1625" w:type="dxa"/>
          </w:tcPr>
          <w:p w14:paraId="0FC0148F" w14:textId="77777777" w:rsid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Vitória dos bolcheviques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5653D">
              <w:rPr>
                <w:rFonts w:ascii="Arial" w:hAnsi="Arial" w:cs="Arial"/>
                <w:sz w:val="14"/>
                <w:szCs w:val="14"/>
              </w:rPr>
              <w:t>na guerra civil</w:t>
            </w:r>
          </w:p>
          <w:p w14:paraId="56E16C3E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</w:p>
          <w:p w14:paraId="21026C81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NEP (Nova Política Económica)</w:t>
            </w:r>
          </w:p>
          <w:p w14:paraId="75094C81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00C8E12F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Criação da URSS</w:t>
            </w:r>
          </w:p>
        </w:tc>
        <w:tc>
          <w:tcPr>
            <w:tcW w:w="1625" w:type="dxa"/>
          </w:tcPr>
          <w:p w14:paraId="35738657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45653D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Morte de Lenine</w:t>
            </w:r>
          </w:p>
          <w:p w14:paraId="2BF58F46" w14:textId="77777777" w:rsid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Subida ao poder de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5653D">
              <w:rPr>
                <w:rFonts w:ascii="Arial" w:hAnsi="Arial" w:cs="Arial"/>
                <w:sz w:val="14"/>
                <w:szCs w:val="14"/>
              </w:rPr>
              <w:t>Estaline</w:t>
            </w:r>
          </w:p>
          <w:p w14:paraId="0686434E" w14:textId="77777777" w:rsid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</w:p>
          <w:p w14:paraId="67D0B6C3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i/>
                <w:sz w:val="14"/>
                <w:szCs w:val="14"/>
              </w:rPr>
            </w:pPr>
            <w:r w:rsidRPr="0045653D">
              <w:rPr>
                <w:rFonts w:ascii="Arial" w:hAnsi="Arial" w:cs="Arial"/>
                <w:i/>
                <w:sz w:val="14"/>
                <w:szCs w:val="14"/>
              </w:rPr>
              <w:t>Manifesto do Surrealismo</w:t>
            </w:r>
          </w:p>
        </w:tc>
        <w:tc>
          <w:tcPr>
            <w:tcW w:w="1624" w:type="dxa"/>
          </w:tcPr>
          <w:p w14:paraId="4D005638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Primeiro filme sonoro</w:t>
            </w:r>
          </w:p>
        </w:tc>
        <w:tc>
          <w:tcPr>
            <w:tcW w:w="1625" w:type="dxa"/>
          </w:tcPr>
          <w:p w14:paraId="20F87418" w14:textId="77777777" w:rsidR="0045653D" w:rsidRPr="0045653D" w:rsidRDefault="0045653D" w:rsidP="0045653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4"/>
                <w:szCs w:val="14"/>
              </w:rPr>
            </w:pPr>
            <w:r w:rsidRPr="0045653D">
              <w:rPr>
                <w:rFonts w:ascii="Arial" w:hAnsi="Arial" w:cs="Arial"/>
                <w:sz w:val="14"/>
                <w:szCs w:val="14"/>
              </w:rPr>
              <w:t>Primeira emissão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5653D">
              <w:rPr>
                <w:rFonts w:ascii="Arial" w:hAnsi="Arial" w:cs="Arial"/>
                <w:sz w:val="14"/>
                <w:szCs w:val="14"/>
              </w:rPr>
              <w:t>pública de televisão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45653D">
              <w:rPr>
                <w:rFonts w:ascii="Arial" w:hAnsi="Arial" w:cs="Arial"/>
                <w:sz w:val="14"/>
                <w:szCs w:val="14"/>
              </w:rPr>
              <w:t>(França)</w:t>
            </w:r>
          </w:p>
        </w:tc>
      </w:tr>
    </w:tbl>
    <w:p w14:paraId="38F91496" w14:textId="77777777" w:rsidR="0045653D" w:rsidRDefault="0045653D" w:rsidP="004871C1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/>
        </w:rPr>
      </w:pPr>
    </w:p>
    <w:p w14:paraId="46978AB2" w14:textId="77777777" w:rsidR="00721788" w:rsidRPr="00721788" w:rsidRDefault="00721788" w:rsidP="0072178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721788">
        <w:rPr>
          <w:rFonts w:ascii="Arial" w:hAnsi="Arial" w:cs="Arial"/>
          <w:b/>
          <w:bCs/>
          <w:color w:val="004366"/>
          <w:sz w:val="21"/>
          <w:szCs w:val="21"/>
        </w:rPr>
        <w:t xml:space="preserve">4.1. </w:t>
      </w:r>
      <w:r w:rsidRPr="00721788">
        <w:rPr>
          <w:rFonts w:ascii="Arial" w:hAnsi="Arial" w:cs="Arial"/>
          <w:color w:val="000000"/>
          <w:sz w:val="21"/>
          <w:szCs w:val="21"/>
        </w:rPr>
        <w:t>Na correção da resposta deve ser considerado:</w:t>
      </w:r>
    </w:p>
    <w:p w14:paraId="3EB09E17" w14:textId="77777777" w:rsidR="00721788" w:rsidRPr="00721788" w:rsidRDefault="00721788" w:rsidP="00721788">
      <w:pPr>
        <w:autoSpaceDE w:val="0"/>
        <w:autoSpaceDN w:val="0"/>
        <w:adjustRightInd w:val="0"/>
        <w:spacing w:before="120"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721788">
        <w:rPr>
          <w:rFonts w:ascii="Arial" w:hAnsi="Arial" w:cs="Arial"/>
          <w:color w:val="000000"/>
          <w:sz w:val="21"/>
          <w:szCs w:val="21"/>
        </w:rPr>
        <w:t>- adequação ao tema/assunto;</w:t>
      </w:r>
    </w:p>
    <w:p w14:paraId="18ADA084" w14:textId="77777777" w:rsidR="00721788" w:rsidRPr="00721788" w:rsidRDefault="00721788" w:rsidP="00721788">
      <w:pPr>
        <w:autoSpaceDE w:val="0"/>
        <w:autoSpaceDN w:val="0"/>
        <w:adjustRightInd w:val="0"/>
        <w:spacing w:before="120"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721788">
        <w:rPr>
          <w:rFonts w:ascii="Arial" w:hAnsi="Arial" w:cs="Arial"/>
          <w:color w:val="000000"/>
          <w:sz w:val="21"/>
          <w:szCs w:val="21"/>
        </w:rPr>
        <w:t>- integração correta do acontecimento na cronologia;</w:t>
      </w:r>
    </w:p>
    <w:p w14:paraId="57F3985B" w14:textId="77777777" w:rsidR="00721788" w:rsidRPr="00721788" w:rsidRDefault="00721788" w:rsidP="00721788">
      <w:pPr>
        <w:autoSpaceDE w:val="0"/>
        <w:autoSpaceDN w:val="0"/>
        <w:adjustRightInd w:val="0"/>
        <w:spacing w:before="120"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721788">
        <w:rPr>
          <w:rFonts w:ascii="Arial" w:hAnsi="Arial" w:cs="Arial"/>
          <w:color w:val="000000"/>
          <w:sz w:val="21"/>
          <w:szCs w:val="21"/>
        </w:rPr>
        <w:t>- apresentação de conceitos específicos;</w:t>
      </w:r>
    </w:p>
    <w:p w14:paraId="3728C1F0" w14:textId="77777777" w:rsidR="00721788" w:rsidRPr="00721788" w:rsidRDefault="00721788" w:rsidP="00721788">
      <w:pPr>
        <w:autoSpaceDE w:val="0"/>
        <w:autoSpaceDN w:val="0"/>
        <w:adjustRightInd w:val="0"/>
        <w:spacing w:before="120" w:line="276" w:lineRule="auto"/>
        <w:ind w:left="426"/>
        <w:rPr>
          <w:rFonts w:ascii="Arial" w:hAnsi="Arial" w:cs="Arial"/>
          <w:b/>
        </w:rPr>
      </w:pPr>
      <w:r w:rsidRPr="00721788">
        <w:rPr>
          <w:rFonts w:ascii="Arial" w:hAnsi="Arial" w:cs="Arial"/>
          <w:color w:val="000000"/>
          <w:sz w:val="21"/>
          <w:szCs w:val="21"/>
        </w:rPr>
        <w:t>- correção sintática e linguística.</w:t>
      </w:r>
    </w:p>
    <w:sectPr w:rsidR="00721788" w:rsidRPr="00721788" w:rsidSect="0045653D">
      <w:type w:val="continuous"/>
      <w:pgSz w:w="11906" w:h="16838"/>
      <w:pgMar w:top="1135" w:right="991" w:bottom="851" w:left="1134" w:header="708" w:footer="708" w:gutter="0"/>
      <w:cols w:space="4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2157E3"/>
    <w:rsid w:val="000107F9"/>
    <w:rsid w:val="000272F3"/>
    <w:rsid w:val="00035342"/>
    <w:rsid w:val="00062525"/>
    <w:rsid w:val="000A2FE1"/>
    <w:rsid w:val="000F485F"/>
    <w:rsid w:val="00133E59"/>
    <w:rsid w:val="00177614"/>
    <w:rsid w:val="00180BE2"/>
    <w:rsid w:val="001C4511"/>
    <w:rsid w:val="001E563A"/>
    <w:rsid w:val="001E77B6"/>
    <w:rsid w:val="001F4A68"/>
    <w:rsid w:val="002011E4"/>
    <w:rsid w:val="00204299"/>
    <w:rsid w:val="002157E3"/>
    <w:rsid w:val="00235E39"/>
    <w:rsid w:val="002704F0"/>
    <w:rsid w:val="00271689"/>
    <w:rsid w:val="002972DF"/>
    <w:rsid w:val="002A106E"/>
    <w:rsid w:val="002C55DE"/>
    <w:rsid w:val="0031534E"/>
    <w:rsid w:val="003373BB"/>
    <w:rsid w:val="00343F75"/>
    <w:rsid w:val="00447971"/>
    <w:rsid w:val="0045653D"/>
    <w:rsid w:val="00461DE6"/>
    <w:rsid w:val="00474DC3"/>
    <w:rsid w:val="004871C1"/>
    <w:rsid w:val="004C233D"/>
    <w:rsid w:val="00621437"/>
    <w:rsid w:val="006301E0"/>
    <w:rsid w:val="00667A80"/>
    <w:rsid w:val="00693584"/>
    <w:rsid w:val="006A5C62"/>
    <w:rsid w:val="006B333D"/>
    <w:rsid w:val="00706292"/>
    <w:rsid w:val="00721788"/>
    <w:rsid w:val="0072633A"/>
    <w:rsid w:val="007D28D3"/>
    <w:rsid w:val="007F49A0"/>
    <w:rsid w:val="008226CB"/>
    <w:rsid w:val="00855C11"/>
    <w:rsid w:val="00862F09"/>
    <w:rsid w:val="00895375"/>
    <w:rsid w:val="00897DFD"/>
    <w:rsid w:val="008A1107"/>
    <w:rsid w:val="00907D52"/>
    <w:rsid w:val="009959DF"/>
    <w:rsid w:val="009C6D33"/>
    <w:rsid w:val="009E78F7"/>
    <w:rsid w:val="009F76F1"/>
    <w:rsid w:val="00A02015"/>
    <w:rsid w:val="00A067E2"/>
    <w:rsid w:val="00A9642E"/>
    <w:rsid w:val="00AC388C"/>
    <w:rsid w:val="00AE54AC"/>
    <w:rsid w:val="00B06166"/>
    <w:rsid w:val="00B165B4"/>
    <w:rsid w:val="00B66A3E"/>
    <w:rsid w:val="00B82B1D"/>
    <w:rsid w:val="00B85645"/>
    <w:rsid w:val="00BC157C"/>
    <w:rsid w:val="00BF7DF0"/>
    <w:rsid w:val="00C2241D"/>
    <w:rsid w:val="00C30364"/>
    <w:rsid w:val="00C4091B"/>
    <w:rsid w:val="00C86778"/>
    <w:rsid w:val="00C9683F"/>
    <w:rsid w:val="00CA6EB1"/>
    <w:rsid w:val="00CB78AB"/>
    <w:rsid w:val="00CD1F4A"/>
    <w:rsid w:val="00D14502"/>
    <w:rsid w:val="00D859BE"/>
    <w:rsid w:val="00DA111C"/>
    <w:rsid w:val="00DD5919"/>
    <w:rsid w:val="00E50A63"/>
    <w:rsid w:val="00E5368B"/>
    <w:rsid w:val="00E55C9B"/>
    <w:rsid w:val="00E702DD"/>
    <w:rsid w:val="00E90F04"/>
    <w:rsid w:val="00E92384"/>
    <w:rsid w:val="00EA4D7D"/>
    <w:rsid w:val="00EA6904"/>
    <w:rsid w:val="00F70326"/>
    <w:rsid w:val="00F74984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660]" strokecolor="none" shadowcolor="none"/>
    </o:shapedefaults>
    <o:shapelayout v:ext="edit">
      <o:idmap v:ext="edit" data="1"/>
    </o:shapelayout>
  </w:shapeDefaults>
  <w:decimalSymbol w:val="."/>
  <w:listSeparator w:val=","/>
  <w14:docId w14:val="1BCE5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14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C5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80B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BE2"/>
    <w:rPr>
      <w:rFonts w:ascii="Tahoma" w:hAnsi="Tahoma" w:cs="Tahoma"/>
      <w:color w:val="auto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562</Words>
  <Characters>3092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4</cp:revision>
  <dcterms:created xsi:type="dcterms:W3CDTF">2015-03-01T19:47:00Z</dcterms:created>
  <dcterms:modified xsi:type="dcterms:W3CDTF">2015-03-29T18:10:00Z</dcterms:modified>
</cp:coreProperties>
</file>