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974E993" w14:textId="77777777" w:rsidR="00B219EA" w:rsidRPr="00B219EA" w:rsidRDefault="004E3C0A" w:rsidP="00B219EA">
      <w:pPr>
        <w:autoSpaceDE w:val="0"/>
        <w:autoSpaceDN w:val="0"/>
        <w:adjustRightInd w:val="0"/>
        <w:spacing w:after="0" w:line="240" w:lineRule="auto"/>
        <w:rPr>
          <w:rFonts w:ascii="VAGRoundedStd-Light" w:hAnsi="VAGRoundedStd-Light" w:cs="VAGRoundedStd-Light"/>
          <w:color w:val="E6E6C3"/>
          <w:sz w:val="72"/>
          <w:szCs w:val="72"/>
        </w:rPr>
      </w:pPr>
      <w:r>
        <w:rPr>
          <w:rFonts w:ascii="VAGRoundedStd-Light" w:hAnsi="VAGRoundedStd-Light" w:cs="VAGRoundedStd-Light"/>
          <w:noProof/>
          <w:color w:val="E6E6C3"/>
          <w:sz w:val="72"/>
          <w:szCs w:val="72"/>
          <w:lang w:eastAsia="pt-PT"/>
        </w:rPr>
        <w:pict w14:anchorId="787B9238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0BC5762E" w14:textId="77777777"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8D00A7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1</w:t>
                  </w: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A</w:t>
                  </w:r>
                </w:p>
              </w:txbxContent>
            </v:textbox>
          </v:roundrect>
        </w:pict>
      </w:r>
      <w:r w:rsidR="00B219EA" w:rsidRPr="00B219EA">
        <w:rPr>
          <w:rFonts w:ascii="VAGRoundedStd-Light" w:hAnsi="VAGRoundedStd-Light" w:cs="VAGRoundedStd-Light"/>
          <w:color w:val="E6E6C3"/>
          <w:sz w:val="72"/>
          <w:szCs w:val="72"/>
        </w:rPr>
        <w:t>Ficha de avaliação</w:t>
      </w:r>
    </w:p>
    <w:p w14:paraId="4531A017" w14:textId="77777777" w:rsidR="008B6605" w:rsidRPr="008B6605" w:rsidRDefault="00B219EA" w:rsidP="008B6605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28"/>
          <w:szCs w:val="28"/>
        </w:rPr>
      </w:pPr>
      <w:r w:rsidRPr="00B219EA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9775CF">
        <w:rPr>
          <w:rFonts w:cs="Arial"/>
          <w:color w:val="004366"/>
          <w:sz w:val="32"/>
          <w:szCs w:val="32"/>
        </w:rPr>
        <w:t xml:space="preserve">| </w:t>
      </w:r>
      <w:r w:rsidR="008B6605" w:rsidRPr="008B6605">
        <w:rPr>
          <w:rFonts w:cs="Arial"/>
          <w:color w:val="004366"/>
          <w:sz w:val="32"/>
          <w:szCs w:val="32"/>
        </w:rPr>
        <w:t xml:space="preserve">9.1. </w:t>
      </w:r>
      <w:r w:rsidR="008B6605" w:rsidRPr="008B6605">
        <w:rPr>
          <w:rFonts w:cs="Arial"/>
          <w:color w:val="004366"/>
          <w:sz w:val="28"/>
          <w:szCs w:val="28"/>
        </w:rPr>
        <w:t>Apogeu e declínio da influência europeia</w:t>
      </w:r>
    </w:p>
    <w:p w14:paraId="1BD77D95" w14:textId="77777777" w:rsidR="008B6605" w:rsidRPr="008B6605" w:rsidRDefault="008B6605" w:rsidP="008B6605">
      <w:pPr>
        <w:autoSpaceDE w:val="0"/>
        <w:autoSpaceDN w:val="0"/>
        <w:adjustRightInd w:val="0"/>
        <w:spacing w:after="0"/>
        <w:ind w:left="3969" w:hanging="3969"/>
        <w:rPr>
          <w:rFonts w:cs="Arial"/>
          <w:color w:val="004366"/>
          <w:sz w:val="28"/>
          <w:szCs w:val="28"/>
        </w:rPr>
      </w:pPr>
      <w:r w:rsidRPr="008B6605">
        <w:rPr>
          <w:rFonts w:cs="Arial"/>
          <w:color w:val="004366"/>
          <w:sz w:val="28"/>
          <w:szCs w:val="28"/>
        </w:rPr>
        <w:t>9.2. As transformações políticas, económicas, sociais e culturais do após-guerra</w:t>
      </w:r>
    </w:p>
    <w:p w14:paraId="34F96DD5" w14:textId="77777777" w:rsidR="008B6605" w:rsidRDefault="008B6605" w:rsidP="008B6605">
      <w:pPr>
        <w:autoSpaceDE w:val="0"/>
        <w:autoSpaceDN w:val="0"/>
        <w:adjustRightInd w:val="0"/>
        <w:spacing w:after="0"/>
        <w:ind w:left="3969" w:hanging="3969"/>
        <w:rPr>
          <w:rFonts w:cs="Arial"/>
          <w:b/>
          <w:bCs/>
          <w:sz w:val="18"/>
          <w:szCs w:val="18"/>
        </w:rPr>
      </w:pPr>
    </w:p>
    <w:p w14:paraId="5FF760C4" w14:textId="77777777" w:rsidR="000171A8" w:rsidRPr="00B564E1" w:rsidRDefault="000171A8" w:rsidP="008B6605">
      <w:pPr>
        <w:autoSpaceDE w:val="0"/>
        <w:autoSpaceDN w:val="0"/>
        <w:adjustRightInd w:val="0"/>
        <w:spacing w:after="0"/>
        <w:ind w:left="3969" w:hanging="3969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14:paraId="3048179F" w14:textId="77777777"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14:paraId="58BEEF20" w14:textId="77777777" w:rsidR="00B219EA" w:rsidRPr="00B219EA" w:rsidRDefault="00B219EA" w:rsidP="00B219EA">
      <w:pPr>
        <w:rPr>
          <w:rFonts w:cs="Arial"/>
        </w:rPr>
      </w:pPr>
    </w:p>
    <w:p w14:paraId="2FE87997" w14:textId="77777777" w:rsidR="00B219EA" w:rsidRPr="008D00A7" w:rsidRDefault="00B219EA" w:rsidP="00B219EA">
      <w:pPr>
        <w:autoSpaceDE w:val="0"/>
        <w:autoSpaceDN w:val="0"/>
        <w:adjustRightInd w:val="0"/>
        <w:spacing w:after="0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8D00A7" w:rsidRPr="008D00A7">
        <w:rPr>
          <w:rFonts w:cs="Arial"/>
          <w:color w:val="CD9A00"/>
          <w:sz w:val="34"/>
          <w:szCs w:val="34"/>
        </w:rPr>
        <w:t>9.1. Apogeu e declínio da influência europeia</w:t>
      </w:r>
    </w:p>
    <w:p w14:paraId="048D5CF7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 </w:t>
      </w:r>
      <w:r w:rsidRPr="008D00A7">
        <w:rPr>
          <w:rFonts w:cs="Arial"/>
          <w:color w:val="000000"/>
          <w:sz w:val="21"/>
          <w:szCs w:val="21"/>
        </w:rPr>
        <w:t>Analisa as fontes.</w:t>
      </w:r>
    </w:p>
    <w:p w14:paraId="3E3431AB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17"/>
          <w:szCs w:val="17"/>
        </w:rPr>
      </w:pPr>
    </w:p>
    <w:p w14:paraId="736240F7" w14:textId="77777777" w:rsidR="00B81C16" w:rsidRDefault="004E3C0A" w:rsidP="008D00A7">
      <w:pPr>
        <w:spacing w:after="0"/>
        <w:rPr>
          <w:rFonts w:cs="Arial"/>
          <w:b/>
          <w:color w:val="000000"/>
          <w:sz w:val="17"/>
          <w:szCs w:val="17"/>
        </w:rPr>
      </w:pPr>
      <w:r>
        <w:rPr>
          <w:rFonts w:cs="Arial"/>
          <w:b/>
          <w:noProof/>
          <w:color w:val="000000"/>
          <w:sz w:val="21"/>
          <w:szCs w:val="21"/>
          <w:lang w:eastAsia="pt-PT"/>
        </w:rPr>
        <w:pict w14:anchorId="37A56063">
          <v:rect id="_x0000_s1029" style="position:absolute;margin-left:.9pt;margin-top:14.75pt;width:507.2pt;height:65.5pt;z-index:251663360" fillcolor="#ffc" stroked="f">
            <v:textbox>
              <w:txbxContent>
                <w:p w14:paraId="6C0EE868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“Deste modo, entre 1880 e 1914, a Alemanha deu o salto económico mais prodigioso da História. Seguindo o exemplo dos</w:t>
                  </w:r>
                </w:p>
                <w:p w14:paraId="12F6C9AE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ingleses e dos franceses, a Alemanha adotou a ideia de expansão para o ultramar, quer para se abastecer de matérias-</w:t>
                  </w:r>
                </w:p>
                <w:p w14:paraId="20A3E145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-primas, quer para ampliar os seus mercados. Mas o mundo inteiro, ou quase, estava já conquistado e dividido e a</w:t>
                  </w:r>
                </w:p>
                <w:p w14:paraId="4A05CB5D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Alemanha dificilmente podia encontrar “um lugar ao Sol”.</w:t>
                  </w:r>
                </w:p>
                <w:p w14:paraId="5B578A92" w14:textId="77777777" w:rsidR="00B81C16" w:rsidRPr="008D00A7" w:rsidRDefault="008D00A7" w:rsidP="008D00A7">
                  <w:pPr>
                    <w:jc w:val="right"/>
                    <w:rPr>
                      <w:rFonts w:cs="Arial"/>
                    </w:rPr>
                  </w:pPr>
                  <w:r w:rsidRPr="008D00A7">
                    <w:rPr>
                      <w:rFonts w:cs="Arial"/>
                      <w:sz w:val="14"/>
                      <w:szCs w:val="14"/>
                    </w:rPr>
                    <w:t xml:space="preserve">Marc Ferro, </w:t>
                  </w:r>
                  <w:r w:rsidRPr="008D00A7">
                    <w:rPr>
                      <w:rFonts w:cs="Arial"/>
                      <w:i/>
                      <w:iCs/>
                      <w:sz w:val="14"/>
                      <w:szCs w:val="14"/>
                    </w:rPr>
                    <w:t xml:space="preserve">A Grande Guerra (1914-1918), História Universal, </w:t>
                  </w:r>
                  <w:r w:rsidRPr="008D00A7">
                    <w:rPr>
                      <w:rFonts w:cs="Arial"/>
                      <w:sz w:val="14"/>
                      <w:szCs w:val="14"/>
                    </w:rPr>
                    <w:t>vol. IX, Publicações Alfa,1995</w:t>
                  </w:r>
                </w:p>
              </w:txbxContent>
            </v:textbox>
          </v:rect>
        </w:pict>
      </w:r>
      <w:r w:rsidR="008D00A7" w:rsidRPr="008D00A7">
        <w:rPr>
          <w:rFonts w:cs="Arial"/>
          <w:b/>
          <w:color w:val="000000"/>
          <w:sz w:val="17"/>
          <w:szCs w:val="17"/>
        </w:rPr>
        <w:t>Fonte A</w:t>
      </w:r>
    </w:p>
    <w:p w14:paraId="1B632763" w14:textId="77777777" w:rsidR="008D00A7" w:rsidRPr="008D00A7" w:rsidRDefault="008D00A7" w:rsidP="008D00A7">
      <w:pPr>
        <w:spacing w:after="0"/>
        <w:rPr>
          <w:rFonts w:cs="Arial"/>
          <w:b/>
          <w:color w:val="000000"/>
          <w:sz w:val="21"/>
          <w:szCs w:val="21"/>
        </w:rPr>
      </w:pPr>
    </w:p>
    <w:p w14:paraId="45EACAEB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5B777DEC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1226BDCC" w14:textId="77777777" w:rsidR="00B81C16" w:rsidRPr="008D00A7" w:rsidRDefault="00B81C16" w:rsidP="00B81C16">
      <w:pPr>
        <w:rPr>
          <w:rFonts w:cs="Arial"/>
          <w:color w:val="000000"/>
          <w:sz w:val="21"/>
          <w:szCs w:val="21"/>
        </w:rPr>
      </w:pPr>
    </w:p>
    <w:p w14:paraId="734C06A2" w14:textId="77777777" w:rsidR="00B81C16" w:rsidRPr="008D00A7" w:rsidRDefault="004E3C0A" w:rsidP="008D00A7">
      <w:pPr>
        <w:jc w:val="center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5E6F7B1F">
          <v:rect id="_x0000_s1045" style="position:absolute;left:0;text-align:left;margin-left:280.8pt;margin-top:239.7pt;width:181.6pt;height:22.55pt;z-index:251667456" stroked="f">
            <v:textbox>
              <w:txbxContent>
                <w:p w14:paraId="6FF3B3A7" w14:textId="77777777" w:rsidR="008D00A7" w:rsidRPr="008D00A7" w:rsidRDefault="008D00A7" w:rsidP="008D00A7">
                  <w:pPr>
                    <w:rPr>
                      <w:b/>
                    </w:rPr>
                  </w:pPr>
                  <w:r w:rsidRPr="008D00A7">
                    <w:rPr>
                      <w:rFonts w:cs="Arial"/>
                      <w:b/>
                      <w:sz w:val="17"/>
                      <w:szCs w:val="17"/>
                    </w:rPr>
                    <w:t xml:space="preserve">Fonte C – O </w:t>
                  </w:r>
                  <w:r w:rsidRPr="004E3C0A">
                    <w:rPr>
                      <w:rFonts w:cs="Arial"/>
                      <w:b/>
                      <w:i/>
                      <w:sz w:val="17"/>
                      <w:szCs w:val="17"/>
                    </w:rPr>
                    <w:t>Mapa Cor-de-Rosa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75D34733">
          <v:rect id="_x0000_s1044" style="position:absolute;left:0;text-align:left;margin-left:51.9pt;margin-top:239.7pt;width:181.6pt;height:22.55pt;z-index:251666432" stroked="f">
            <v:textbox>
              <w:txbxContent>
                <w:p w14:paraId="7B191910" w14:textId="77777777" w:rsidR="008D00A7" w:rsidRPr="008D00A7" w:rsidRDefault="008D00A7">
                  <w:pPr>
                    <w:rPr>
                      <w:rFonts w:cs="Arial"/>
                      <w:b/>
                    </w:rPr>
                  </w:pPr>
                  <w:r w:rsidRPr="008D00A7">
                    <w:rPr>
                      <w:rFonts w:cs="Arial"/>
                      <w:b/>
                      <w:sz w:val="17"/>
                      <w:szCs w:val="17"/>
                    </w:rPr>
                    <w:t>Fonte B – A partilha de África</w:t>
                  </w:r>
                </w:p>
              </w:txbxContent>
            </v:textbox>
          </v:rect>
        </w:pict>
      </w:r>
      <w:r w:rsidR="008D00A7" w:rsidRPr="008D00A7">
        <w:rPr>
          <w:rFonts w:cs="Arial"/>
          <w:noProof/>
          <w:color w:val="000000"/>
          <w:sz w:val="21"/>
          <w:szCs w:val="21"/>
          <w:lang w:val="es-ES" w:eastAsia="es-ES"/>
        </w:rPr>
        <w:drawing>
          <wp:inline distT="0" distB="0" distL="0" distR="0" wp14:anchorId="455F61CB" wp14:editId="773782BB">
            <wp:extent cx="5600018" cy="3016156"/>
            <wp:effectExtent l="19050" t="0" r="682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018" cy="3016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A778A6" w14:textId="77777777" w:rsidR="008D00A7" w:rsidRDefault="008D00A7" w:rsidP="008D00A7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</w:p>
    <w:p w14:paraId="21CC65A1" w14:textId="77777777" w:rsidR="008D00A7" w:rsidRDefault="008D00A7" w:rsidP="008D00A7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</w:p>
    <w:p w14:paraId="3963857D" w14:textId="77777777" w:rsidR="008D00A7" w:rsidRPr="008D00A7" w:rsidRDefault="008D00A7" w:rsidP="008D00A7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8D00A7">
        <w:rPr>
          <w:rFonts w:cs="Arial"/>
          <w:color w:val="000000"/>
          <w:sz w:val="21"/>
          <w:szCs w:val="21"/>
        </w:rPr>
        <w:t>Indica, com base nas fontes A e B, as principais potências coloniais do século XIX.</w:t>
      </w:r>
    </w:p>
    <w:p w14:paraId="3A04E87F" w14:textId="77777777" w:rsidR="008D00A7" w:rsidRPr="008D00A7" w:rsidRDefault="008D00A7" w:rsidP="008D00A7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1.2. </w:t>
      </w:r>
      <w:r w:rsidRPr="008D00A7">
        <w:rPr>
          <w:rFonts w:cs="Arial"/>
          <w:color w:val="000000"/>
          <w:sz w:val="21"/>
          <w:szCs w:val="21"/>
        </w:rPr>
        <w:t>A partir da informação da fonte A, justifica o interesse dos países europeus na posse de colónias.</w:t>
      </w:r>
    </w:p>
    <w:p w14:paraId="6958330A" w14:textId="77777777" w:rsidR="008D00A7" w:rsidRPr="008D00A7" w:rsidRDefault="008D00A7" w:rsidP="008D00A7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1.3. </w:t>
      </w:r>
      <w:r w:rsidRPr="008D00A7">
        <w:rPr>
          <w:rFonts w:cs="Arial"/>
          <w:color w:val="000000"/>
          <w:sz w:val="21"/>
          <w:szCs w:val="21"/>
        </w:rPr>
        <w:t xml:space="preserve">Quais foram as principais decisões da </w:t>
      </w:r>
      <w:r w:rsidRPr="008D00A7">
        <w:rPr>
          <w:rFonts w:cs="Arial"/>
          <w:i/>
          <w:color w:val="000000"/>
          <w:sz w:val="21"/>
          <w:szCs w:val="21"/>
        </w:rPr>
        <w:t>Conferência de Berlim</w:t>
      </w:r>
      <w:r w:rsidRPr="008D00A7">
        <w:rPr>
          <w:rFonts w:cs="Arial"/>
          <w:color w:val="000000"/>
          <w:sz w:val="21"/>
          <w:szCs w:val="21"/>
        </w:rPr>
        <w:t>?</w:t>
      </w:r>
    </w:p>
    <w:p w14:paraId="77AAFDD7" w14:textId="77777777" w:rsidR="008D00A7" w:rsidRPr="008D00A7" w:rsidRDefault="008D00A7" w:rsidP="008D00A7">
      <w:pPr>
        <w:spacing w:line="360" w:lineRule="auto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1.4. </w:t>
      </w:r>
      <w:r w:rsidRPr="008D00A7">
        <w:rPr>
          <w:rFonts w:cs="Arial"/>
          <w:color w:val="000000"/>
          <w:sz w:val="21"/>
          <w:szCs w:val="21"/>
        </w:rPr>
        <w:t>Apresenta a discussão levantada por Portugal na fonte C.</w:t>
      </w:r>
    </w:p>
    <w:p w14:paraId="75D920EE" w14:textId="77777777" w:rsidR="008D00A7" w:rsidRDefault="008D00A7" w:rsidP="00B81C16">
      <w:pPr>
        <w:rPr>
          <w:rFonts w:cs="Arial"/>
          <w:color w:val="000000"/>
          <w:sz w:val="21"/>
          <w:szCs w:val="21"/>
        </w:rPr>
      </w:pPr>
    </w:p>
    <w:p w14:paraId="25D1462B" w14:textId="77777777" w:rsidR="008D00A7" w:rsidRDefault="008D00A7" w:rsidP="00B81C16">
      <w:pPr>
        <w:rPr>
          <w:rFonts w:cs="Arial"/>
          <w:color w:val="000000"/>
          <w:sz w:val="21"/>
          <w:szCs w:val="21"/>
        </w:rPr>
      </w:pPr>
    </w:p>
    <w:p w14:paraId="687DB543" w14:textId="77777777" w:rsidR="008D00A7" w:rsidRDefault="008D00A7">
      <w:pPr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page"/>
      </w:r>
    </w:p>
    <w:p w14:paraId="399FBCC8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lastRenderedPageBreak/>
        <w:t xml:space="preserve">GRUPO II </w:t>
      </w:r>
      <w:r w:rsidRPr="008D00A7">
        <w:rPr>
          <w:rFonts w:cs="Arial"/>
          <w:color w:val="CD9A00"/>
          <w:sz w:val="34"/>
          <w:szCs w:val="34"/>
        </w:rPr>
        <w:t>– 9.2. As transformações políticas, económicas, sociais e</w:t>
      </w:r>
    </w:p>
    <w:p w14:paraId="401A1EA5" w14:textId="77777777" w:rsidR="008D00A7" w:rsidRPr="008D00A7" w:rsidRDefault="008D00A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CD9A00"/>
          <w:sz w:val="34"/>
          <w:szCs w:val="34"/>
        </w:rPr>
      </w:pPr>
      <w:r w:rsidRPr="008D00A7">
        <w:rPr>
          <w:rFonts w:cs="Arial"/>
          <w:color w:val="CD9A00"/>
          <w:sz w:val="34"/>
          <w:szCs w:val="34"/>
        </w:rPr>
        <w:t>culturais do após-guerra</w:t>
      </w:r>
    </w:p>
    <w:p w14:paraId="45167F8D" w14:textId="77777777" w:rsidR="008D00A7" w:rsidRPr="008D00A7" w:rsidRDefault="008D00A7" w:rsidP="008D00A7">
      <w:pPr>
        <w:rPr>
          <w:rFonts w:cs="Arial"/>
          <w:b/>
          <w:bCs/>
          <w:color w:val="004366"/>
          <w:sz w:val="22"/>
          <w:szCs w:val="22"/>
        </w:rPr>
      </w:pPr>
    </w:p>
    <w:p w14:paraId="0B281560" w14:textId="77777777" w:rsidR="008D00A7" w:rsidRDefault="008D00A7" w:rsidP="008D00A7">
      <w:pPr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8D00A7">
        <w:rPr>
          <w:rFonts w:cs="Arial"/>
          <w:color w:val="000000"/>
          <w:sz w:val="21"/>
          <w:szCs w:val="21"/>
        </w:rPr>
        <w:t>Atenta nas fontes.</w:t>
      </w:r>
    </w:p>
    <w:p w14:paraId="1BC8AC7D" w14:textId="77777777" w:rsidR="008D00A7" w:rsidRDefault="004E3C0A" w:rsidP="008D00A7">
      <w:pPr>
        <w:jc w:val="center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279F45E8">
          <v:rect id="_x0000_s1047" style="position:absolute;left:0;text-align:left;margin-left:322.8pt;margin-top:137.4pt;width:201.95pt;height:32.75pt;z-index:251669504" stroked="f">
            <v:textbox>
              <w:txbxContent>
                <w:p w14:paraId="0E2C979E" w14:textId="77777777" w:rsidR="008D00A7" w:rsidRPr="008D00A7" w:rsidRDefault="008D00A7" w:rsidP="008D00A7">
                  <w:pPr>
                    <w:rPr>
                      <w:b/>
                    </w:rPr>
                  </w:pPr>
                  <w:r w:rsidRPr="008D00A7">
                    <w:rPr>
                      <w:rFonts w:cs="Arial"/>
                      <w:b/>
                      <w:sz w:val="16"/>
                      <w:szCs w:val="16"/>
                    </w:rPr>
                    <w:t>Fonte E – Trincheira portuguesa em  moçambique, 191</w:t>
                  </w:r>
                  <w:r w:rsidRPr="008D00A7">
                    <w:rPr>
                      <w:rFonts w:cs="Arial"/>
                      <w:b/>
                      <w:sz w:val="17"/>
                      <w:szCs w:val="17"/>
                    </w:rPr>
                    <w:t>7</w:t>
                  </w:r>
                </w:p>
              </w:txbxContent>
            </v:textbox>
          </v:rect>
        </w:pict>
      </w:r>
      <w:r>
        <w:rPr>
          <w:rFonts w:cs="Arial"/>
          <w:noProof/>
          <w:color w:val="000000"/>
          <w:sz w:val="21"/>
          <w:szCs w:val="21"/>
          <w:lang w:eastAsia="pt-PT"/>
        </w:rPr>
        <w:pict w14:anchorId="2449A66E">
          <v:rect id="_x0000_s1046" style="position:absolute;left:0;text-align:left;margin-left:16.5pt;margin-top:193.8pt;width:181.6pt;height:22.55pt;z-index:251668480" stroked="f">
            <v:textbox>
              <w:txbxContent>
                <w:p w14:paraId="134270A1" w14:textId="77777777" w:rsidR="008D00A7" w:rsidRPr="008D00A7" w:rsidRDefault="008D00A7" w:rsidP="008D00A7">
                  <w:pPr>
                    <w:rPr>
                      <w:b/>
                    </w:rPr>
                  </w:pPr>
                  <w:r w:rsidRPr="008D00A7">
                    <w:rPr>
                      <w:rFonts w:cs="Arial"/>
                      <w:b/>
                      <w:sz w:val="17"/>
                      <w:szCs w:val="17"/>
                    </w:rPr>
                    <w:t>Fonte D – A política de alianças</w:t>
                  </w:r>
                </w:p>
              </w:txbxContent>
            </v:textbox>
          </v:rect>
        </w:pict>
      </w:r>
      <w:r w:rsidR="008D00A7">
        <w:rPr>
          <w:rFonts w:cs="Arial"/>
          <w:noProof/>
          <w:color w:val="000000"/>
          <w:sz w:val="21"/>
          <w:szCs w:val="21"/>
          <w:lang w:val="es-ES" w:eastAsia="es-ES"/>
        </w:rPr>
        <w:drawing>
          <wp:inline distT="0" distB="0" distL="0" distR="0" wp14:anchorId="388298F0" wp14:editId="0531F3E7">
            <wp:extent cx="6257489" cy="2456597"/>
            <wp:effectExtent l="19050" t="0" r="0" b="0"/>
            <wp:docPr id="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64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489" cy="2456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8DFC1E" w14:textId="77777777" w:rsidR="008D00A7" w:rsidRDefault="008D00A7" w:rsidP="008D00A7">
      <w:pPr>
        <w:spacing w:after="0"/>
        <w:rPr>
          <w:rFonts w:cs="Arial"/>
          <w:b/>
          <w:color w:val="000000"/>
          <w:sz w:val="17"/>
          <w:szCs w:val="17"/>
        </w:rPr>
      </w:pPr>
    </w:p>
    <w:p w14:paraId="6E0DFA64" w14:textId="77777777" w:rsidR="008D00A7" w:rsidRDefault="008D00A7" w:rsidP="008D00A7">
      <w:pPr>
        <w:spacing w:after="0"/>
        <w:rPr>
          <w:rFonts w:cs="Arial"/>
          <w:b/>
          <w:color w:val="000000"/>
          <w:sz w:val="17"/>
          <w:szCs w:val="17"/>
        </w:rPr>
      </w:pPr>
    </w:p>
    <w:p w14:paraId="294BB2F5" w14:textId="77777777" w:rsidR="008D00A7" w:rsidRPr="008D00A7" w:rsidRDefault="008D00A7" w:rsidP="008D00A7">
      <w:pPr>
        <w:spacing w:after="0"/>
        <w:ind w:left="1418"/>
        <w:rPr>
          <w:rFonts w:cs="Arial"/>
          <w:b/>
          <w:color w:val="000000"/>
          <w:sz w:val="17"/>
          <w:szCs w:val="17"/>
        </w:rPr>
      </w:pPr>
      <w:r w:rsidRPr="008D00A7">
        <w:rPr>
          <w:rFonts w:cs="Arial"/>
          <w:b/>
          <w:color w:val="000000"/>
          <w:sz w:val="17"/>
          <w:szCs w:val="17"/>
        </w:rPr>
        <w:t>Fonte F</w:t>
      </w:r>
    </w:p>
    <w:p w14:paraId="581D38BE" w14:textId="77777777" w:rsidR="008D00A7" w:rsidRDefault="004E3C0A" w:rsidP="008D00A7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686687AF">
          <v:rect id="_x0000_s1043" style="position:absolute;margin-left:68.25pt;margin-top:2.4pt;width:375.55pt;height:114.7pt;z-index:251665408" fillcolor="#ffc" stroked="f">
            <v:textbox>
              <w:txbxContent>
                <w:p w14:paraId="29A1D935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Mais de 60 milhões de homens lutaram na 1.ª Guerra Mundial, dos quais mais de oito</w:t>
                  </w:r>
                </w:p>
                <w:p w14:paraId="411691B5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milhões foram mortos. Perto de nove milhões de civis morreram de fome, doença, fogo</w:t>
                  </w:r>
                </w:p>
                <w:p w14:paraId="19E0A339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de artilharia ou raids aéreos. Doze milhões de toneladas de navios foram afundados. Na</w:t>
                  </w:r>
                </w:p>
                <w:p w14:paraId="59E28CB6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França e na Bélgica, onde a maior parte da guerra teve lugar, foram destruídas 300 000</w:t>
                  </w:r>
                </w:p>
                <w:p w14:paraId="633CF523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casas, 6000 fábricas, 1600 quilómetros de caminhos de ferro, 2000 cervejarias e 112</w:t>
                  </w:r>
                </w:p>
                <w:p w14:paraId="34952372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minas de carvão. Os custos humanos da guerra – em termos de mentes e corpos</w:t>
                  </w:r>
                </w:p>
                <w:p w14:paraId="587D9D30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mutilados e vidas arruinadas – foram para além do que se possa calcular. De certa forma,</w:t>
                  </w:r>
                </w:p>
                <w:p w14:paraId="66040CEE" w14:textId="77777777" w:rsidR="008D00A7" w:rsidRPr="008D00A7" w:rsidRDefault="008D00A7" w:rsidP="008D00A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8D00A7">
                    <w:rPr>
                      <w:rFonts w:cs="Arial"/>
                      <w:sz w:val="18"/>
                      <w:szCs w:val="18"/>
                    </w:rPr>
                    <w:t>a espécie humana nunca recuperou dos horrores da 1.ª Guerra Mundial.</w:t>
                  </w:r>
                </w:p>
                <w:p w14:paraId="44710624" w14:textId="77777777" w:rsidR="008D00A7" w:rsidRPr="008D00A7" w:rsidRDefault="008D00A7" w:rsidP="008D00A7">
                  <w:pPr>
                    <w:jc w:val="right"/>
                    <w:rPr>
                      <w:rFonts w:cs="Arial"/>
                    </w:rPr>
                  </w:pPr>
                  <w:r w:rsidRPr="008D00A7">
                    <w:rPr>
                      <w:rFonts w:cs="Arial"/>
                      <w:sz w:val="14"/>
                      <w:szCs w:val="14"/>
                    </w:rPr>
                    <w:t xml:space="preserve">John D. Clare, </w:t>
                  </w:r>
                  <w:r w:rsidRPr="008D00A7">
                    <w:rPr>
                      <w:rFonts w:cs="Arial"/>
                      <w:i/>
                      <w:iCs/>
                      <w:sz w:val="14"/>
                      <w:szCs w:val="14"/>
                    </w:rPr>
                    <w:t>A Primeira Guerra Mundial</w:t>
                  </w:r>
                  <w:r w:rsidRPr="008D00A7">
                    <w:rPr>
                      <w:rFonts w:cs="Arial"/>
                      <w:sz w:val="14"/>
                      <w:szCs w:val="14"/>
                    </w:rPr>
                    <w:t>, Manole, 1994</w:t>
                  </w:r>
                </w:p>
              </w:txbxContent>
            </v:textbox>
          </v:rect>
        </w:pict>
      </w:r>
    </w:p>
    <w:p w14:paraId="7416C5C2" w14:textId="77777777" w:rsidR="008D00A7" w:rsidRDefault="008D00A7" w:rsidP="008D00A7">
      <w:pPr>
        <w:rPr>
          <w:rFonts w:cs="Arial"/>
          <w:color w:val="000000"/>
          <w:sz w:val="21"/>
          <w:szCs w:val="21"/>
        </w:rPr>
      </w:pPr>
    </w:p>
    <w:p w14:paraId="28ADA388" w14:textId="77777777" w:rsidR="008D00A7" w:rsidRDefault="008D00A7" w:rsidP="008D00A7">
      <w:pPr>
        <w:rPr>
          <w:rFonts w:cs="Arial"/>
          <w:color w:val="000000"/>
          <w:sz w:val="21"/>
          <w:szCs w:val="21"/>
        </w:rPr>
      </w:pPr>
    </w:p>
    <w:p w14:paraId="28675C38" w14:textId="77777777" w:rsidR="008D00A7" w:rsidRDefault="008D00A7" w:rsidP="008D00A7">
      <w:pPr>
        <w:rPr>
          <w:rFonts w:cs="Arial"/>
          <w:color w:val="000000"/>
          <w:sz w:val="21"/>
          <w:szCs w:val="21"/>
        </w:rPr>
      </w:pPr>
    </w:p>
    <w:p w14:paraId="20499295" w14:textId="77777777" w:rsidR="008D00A7" w:rsidRDefault="008D00A7" w:rsidP="008D00A7">
      <w:pPr>
        <w:rPr>
          <w:rFonts w:cs="Arial"/>
          <w:color w:val="000000"/>
          <w:sz w:val="21"/>
          <w:szCs w:val="21"/>
        </w:rPr>
      </w:pPr>
    </w:p>
    <w:p w14:paraId="4189277C" w14:textId="77777777" w:rsidR="008D00A7" w:rsidRDefault="008D00A7" w:rsidP="008D00A7">
      <w:pPr>
        <w:autoSpaceDE w:val="0"/>
        <w:autoSpaceDN w:val="0"/>
        <w:adjustRightInd w:val="0"/>
        <w:spacing w:before="120" w:after="0"/>
        <w:rPr>
          <w:rFonts w:cs="Arial"/>
          <w:b/>
          <w:bCs/>
          <w:color w:val="004366"/>
          <w:sz w:val="22"/>
          <w:szCs w:val="22"/>
        </w:rPr>
      </w:pPr>
    </w:p>
    <w:p w14:paraId="45BC9338" w14:textId="77777777" w:rsidR="008D00A7" w:rsidRPr="008D00A7" w:rsidRDefault="008D00A7" w:rsidP="008D00A7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2.1. </w:t>
      </w:r>
      <w:r w:rsidRPr="008D00A7">
        <w:rPr>
          <w:rFonts w:cs="Arial"/>
          <w:color w:val="000000"/>
          <w:sz w:val="21"/>
          <w:szCs w:val="21"/>
        </w:rPr>
        <w:t>Ordena cronologicamente os seguintes acontecimentos.</w:t>
      </w:r>
    </w:p>
    <w:p w14:paraId="6E6896A5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i/>
          <w:iCs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 xml:space="preserve">Formação da </w:t>
      </w:r>
      <w:r w:rsidRPr="008D00A7">
        <w:rPr>
          <w:rFonts w:cs="Arial"/>
          <w:i/>
          <w:iCs/>
          <w:color w:val="000000"/>
          <w:sz w:val="18"/>
          <w:szCs w:val="18"/>
        </w:rPr>
        <w:t>Tríplice Aliança</w:t>
      </w:r>
    </w:p>
    <w:p w14:paraId="3D6826D6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>Assinatura do Armistício</w:t>
      </w:r>
    </w:p>
    <w:p w14:paraId="5FA6B2FC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i/>
          <w:iCs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 xml:space="preserve">Formação da </w:t>
      </w:r>
      <w:r w:rsidRPr="008D00A7">
        <w:rPr>
          <w:rFonts w:cs="Arial"/>
          <w:i/>
          <w:iCs/>
          <w:color w:val="000000"/>
          <w:sz w:val="18"/>
          <w:szCs w:val="18"/>
        </w:rPr>
        <w:t>Tríplice Entente</w:t>
      </w:r>
    </w:p>
    <w:p w14:paraId="192D662F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>Portugal associa-se aos Aliados</w:t>
      </w:r>
    </w:p>
    <w:p w14:paraId="7DB5DD7B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>Entrada dos EUA na guerra</w:t>
      </w:r>
    </w:p>
    <w:p w14:paraId="44FEB1AB" w14:textId="77777777" w:rsidR="008D00A7" w:rsidRPr="008D00A7" w:rsidRDefault="008D00A7" w:rsidP="007C1F31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8D00A7">
        <w:rPr>
          <w:rFonts w:cs="Arial"/>
          <w:color w:val="000000"/>
          <w:sz w:val="18"/>
          <w:szCs w:val="18"/>
        </w:rPr>
        <w:t>Assassinato do herdeiro do Império Austro-Húngaro</w:t>
      </w:r>
    </w:p>
    <w:p w14:paraId="79F2BBDE" w14:textId="77777777" w:rsidR="008D00A7" w:rsidRPr="008D00A7" w:rsidRDefault="008D00A7" w:rsidP="008D00A7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b/>
          <w:bCs/>
          <w:color w:val="004366"/>
          <w:sz w:val="22"/>
          <w:szCs w:val="22"/>
        </w:rPr>
        <w:t xml:space="preserve">2.2. </w:t>
      </w:r>
      <w:r w:rsidRPr="008D00A7">
        <w:rPr>
          <w:rFonts w:cs="Arial"/>
          <w:color w:val="000000"/>
          <w:sz w:val="21"/>
          <w:szCs w:val="21"/>
        </w:rPr>
        <w:t>Desenvolve, utilizando informação das fontes D a F, o tema:</w:t>
      </w:r>
    </w:p>
    <w:p w14:paraId="701E302D" w14:textId="77777777" w:rsidR="008D00A7" w:rsidRPr="004E3C0A" w:rsidRDefault="008D00A7" w:rsidP="008D00A7">
      <w:pPr>
        <w:autoSpaceDE w:val="0"/>
        <w:autoSpaceDN w:val="0"/>
        <w:adjustRightInd w:val="0"/>
        <w:spacing w:before="120" w:after="0"/>
        <w:ind w:left="425"/>
        <w:rPr>
          <w:rFonts w:cs="Arial"/>
          <w:b/>
          <w:bCs/>
          <w:i/>
          <w:color w:val="000000"/>
          <w:sz w:val="21"/>
          <w:szCs w:val="21"/>
        </w:rPr>
      </w:pPr>
      <w:r w:rsidRPr="004E3C0A">
        <w:rPr>
          <w:rFonts w:cs="Arial"/>
          <w:b/>
          <w:bCs/>
          <w:i/>
          <w:color w:val="000000"/>
          <w:sz w:val="21"/>
          <w:szCs w:val="21"/>
        </w:rPr>
        <w:t>O desenrolar da 1.ª Grande Guerra.</w:t>
      </w:r>
    </w:p>
    <w:p w14:paraId="512B2A5A" w14:textId="77777777" w:rsidR="008D00A7" w:rsidRPr="008D00A7" w:rsidRDefault="008D00A7" w:rsidP="008D00A7">
      <w:pPr>
        <w:autoSpaceDE w:val="0"/>
        <w:autoSpaceDN w:val="0"/>
        <w:adjustRightInd w:val="0"/>
        <w:spacing w:before="120" w:after="0"/>
        <w:ind w:left="425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color w:val="000000"/>
          <w:sz w:val="21"/>
          <w:szCs w:val="21"/>
        </w:rPr>
        <w:t>A tua resposta deve abordar os seguintes aspetos:</w:t>
      </w:r>
    </w:p>
    <w:p w14:paraId="0004B037" w14:textId="77777777" w:rsidR="008D00A7" w:rsidRPr="008D00A7" w:rsidRDefault="008D00A7" w:rsidP="008D00A7">
      <w:pPr>
        <w:tabs>
          <w:tab w:val="left" w:pos="851"/>
        </w:tabs>
        <w:autoSpaceDE w:val="0"/>
        <w:autoSpaceDN w:val="0"/>
        <w:adjustRightInd w:val="0"/>
        <w:spacing w:after="0"/>
        <w:ind w:left="851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color w:val="000000"/>
          <w:sz w:val="21"/>
          <w:szCs w:val="21"/>
        </w:rPr>
        <w:t>• causas da 1.ª Guerra Mundial;</w:t>
      </w:r>
    </w:p>
    <w:p w14:paraId="4EE8E893" w14:textId="77777777" w:rsidR="008D00A7" w:rsidRPr="008D00A7" w:rsidRDefault="008D00A7" w:rsidP="008D00A7">
      <w:pPr>
        <w:tabs>
          <w:tab w:val="left" w:pos="851"/>
        </w:tabs>
        <w:autoSpaceDE w:val="0"/>
        <w:autoSpaceDN w:val="0"/>
        <w:adjustRightInd w:val="0"/>
        <w:spacing w:after="0"/>
        <w:ind w:left="851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color w:val="000000"/>
          <w:sz w:val="21"/>
          <w:szCs w:val="21"/>
        </w:rPr>
        <w:t>• fases do conflito;</w:t>
      </w:r>
    </w:p>
    <w:p w14:paraId="582F2AE4" w14:textId="77777777" w:rsidR="008D00A7" w:rsidRPr="008D00A7" w:rsidRDefault="008D00A7" w:rsidP="008D00A7">
      <w:pPr>
        <w:tabs>
          <w:tab w:val="left" w:pos="851"/>
        </w:tabs>
        <w:ind w:left="851"/>
        <w:rPr>
          <w:rFonts w:cs="Arial"/>
          <w:color w:val="000000"/>
          <w:sz w:val="21"/>
          <w:szCs w:val="21"/>
        </w:rPr>
      </w:pPr>
      <w:r w:rsidRPr="008D00A7">
        <w:rPr>
          <w:rFonts w:cs="Arial"/>
          <w:color w:val="000000"/>
          <w:sz w:val="21"/>
          <w:szCs w:val="21"/>
        </w:rPr>
        <w:t>• custos humanos e materiais.</w:t>
      </w:r>
    </w:p>
    <w:p w14:paraId="248D4C37" w14:textId="77777777" w:rsidR="007C1F31" w:rsidRDefault="007C1F31">
      <w:pPr>
        <w:rPr>
          <w:rFonts w:ascii="VAGRoundedStd-Bold" w:hAnsi="VAGRoundedStd-Bold" w:cs="VAGRoundedStd-Bold"/>
          <w:b/>
          <w:bCs/>
          <w:color w:val="004366"/>
          <w:sz w:val="22"/>
          <w:szCs w:val="22"/>
        </w:rPr>
      </w:pPr>
      <w:r>
        <w:rPr>
          <w:rFonts w:ascii="VAGRoundedStd-Bold" w:hAnsi="VAGRoundedStd-Bold" w:cs="VAGRoundedStd-Bold"/>
          <w:b/>
          <w:bCs/>
          <w:color w:val="004366"/>
          <w:sz w:val="22"/>
          <w:szCs w:val="22"/>
        </w:rPr>
        <w:br w:type="page"/>
      </w:r>
    </w:p>
    <w:p w14:paraId="5BB19639" w14:textId="77777777" w:rsidR="008D00A7" w:rsidRPr="007C1F31" w:rsidRDefault="008D00A7" w:rsidP="007C1F31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7C1F31">
        <w:rPr>
          <w:rFonts w:cs="Arial"/>
          <w:b/>
          <w:bCs/>
          <w:color w:val="004366"/>
          <w:sz w:val="22"/>
          <w:szCs w:val="22"/>
        </w:rPr>
        <w:t xml:space="preserve">3. </w:t>
      </w:r>
      <w:r w:rsidRPr="007C1F31">
        <w:rPr>
          <w:rFonts w:cs="Arial"/>
          <w:color w:val="000000"/>
          <w:sz w:val="21"/>
          <w:szCs w:val="21"/>
        </w:rPr>
        <w:t xml:space="preserve">Assinala com um </w:t>
      </w:r>
      <w:r w:rsidRPr="007C1F31">
        <w:rPr>
          <w:rFonts w:cs="Arial"/>
          <w:b/>
          <w:bCs/>
          <w:color w:val="000000"/>
          <w:sz w:val="21"/>
          <w:szCs w:val="21"/>
        </w:rPr>
        <w:t xml:space="preserve">V </w:t>
      </w:r>
      <w:r w:rsidRPr="007C1F31">
        <w:rPr>
          <w:rFonts w:cs="Arial"/>
          <w:color w:val="000000"/>
          <w:sz w:val="21"/>
          <w:szCs w:val="21"/>
        </w:rPr>
        <w:t xml:space="preserve">as afirmações verdadeiras e com um </w:t>
      </w:r>
      <w:r w:rsidRPr="007C1F31">
        <w:rPr>
          <w:rFonts w:cs="Arial"/>
          <w:b/>
          <w:bCs/>
          <w:color w:val="000000"/>
          <w:sz w:val="21"/>
          <w:szCs w:val="21"/>
        </w:rPr>
        <w:t xml:space="preserve">F </w:t>
      </w:r>
      <w:r w:rsidRPr="007C1F31">
        <w:rPr>
          <w:rFonts w:cs="Arial"/>
          <w:color w:val="000000"/>
          <w:sz w:val="21"/>
          <w:szCs w:val="21"/>
        </w:rPr>
        <w:t>as falsas.</w:t>
      </w:r>
    </w:p>
    <w:p w14:paraId="46DCE40B" w14:textId="77777777" w:rsidR="008D00A7" w:rsidRPr="007C1F31" w:rsidRDefault="007C1F31" w:rsidP="007C1F31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="008D00A7" w:rsidRPr="007C1F31">
        <w:rPr>
          <w:rFonts w:cs="Arial"/>
          <w:color w:val="000000"/>
          <w:sz w:val="18"/>
          <w:szCs w:val="18"/>
        </w:rPr>
        <w:t>O Tratado de Versalhes, assinado em junho de 1919, pôs fim à 1.ª Guerra Mundial.</w:t>
      </w:r>
    </w:p>
    <w:p w14:paraId="232563F2" w14:textId="77777777" w:rsidR="008D00A7" w:rsidRPr="007C1F31" w:rsidRDefault="007C1F31" w:rsidP="007C1F31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="008D00A7" w:rsidRPr="007C1F31">
        <w:rPr>
          <w:rFonts w:cs="Arial"/>
          <w:color w:val="000000"/>
          <w:sz w:val="18"/>
          <w:szCs w:val="18"/>
        </w:rPr>
        <w:t>A Alemanha, a Áustria-Hungria, a Turquia e a Bulgária foram os grandes vencedores.</w:t>
      </w:r>
    </w:p>
    <w:p w14:paraId="6C780E9B" w14:textId="77777777" w:rsidR="008D00A7" w:rsidRPr="007C1F31" w:rsidRDefault="007C1F31" w:rsidP="007C1F31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="008D00A7" w:rsidRPr="007C1F31">
        <w:rPr>
          <w:rFonts w:cs="Arial"/>
          <w:color w:val="000000"/>
          <w:sz w:val="18"/>
          <w:szCs w:val="18"/>
        </w:rPr>
        <w:t>No final da 1.ª Guerra, a Alemanha perdeu todas as suas colónias.</w:t>
      </w:r>
    </w:p>
    <w:p w14:paraId="54D54C64" w14:textId="77777777" w:rsidR="008D00A7" w:rsidRPr="007C1F31" w:rsidRDefault="007C1F31" w:rsidP="007C1F31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="008D00A7" w:rsidRPr="007C1F31">
        <w:rPr>
          <w:rFonts w:cs="Arial"/>
          <w:color w:val="000000"/>
          <w:sz w:val="18"/>
          <w:szCs w:val="18"/>
        </w:rPr>
        <w:t>O tratado de paz devolveu à Alemanha a Alsácia e a Lorena.</w:t>
      </w:r>
    </w:p>
    <w:p w14:paraId="15E06A61" w14:textId="77777777" w:rsidR="008D00A7" w:rsidRPr="007C1F31" w:rsidRDefault="007C1F31" w:rsidP="007C1F31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18"/>
          <w:szCs w:val="18"/>
        </w:rPr>
      </w:pPr>
      <w:r w:rsidRPr="008D00A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="008D00A7" w:rsidRPr="007C1F31">
        <w:rPr>
          <w:rFonts w:cs="Arial"/>
          <w:color w:val="000000"/>
          <w:sz w:val="18"/>
          <w:szCs w:val="18"/>
        </w:rPr>
        <w:t>O Chanceler alemão concordou com as exigências do tratado de paz.</w:t>
      </w:r>
    </w:p>
    <w:p w14:paraId="5D5DBABE" w14:textId="77777777" w:rsidR="008D00A7" w:rsidRDefault="008D00A7" w:rsidP="007C1F31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7C1F31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7C1F31">
        <w:rPr>
          <w:rFonts w:cs="Arial"/>
          <w:color w:val="000000"/>
          <w:sz w:val="21"/>
          <w:szCs w:val="21"/>
        </w:rPr>
        <w:t>Lê a fonte.</w:t>
      </w:r>
    </w:p>
    <w:p w14:paraId="6FD1EB01" w14:textId="77777777" w:rsidR="007C1F31" w:rsidRPr="007C1F31" w:rsidRDefault="007C1F31" w:rsidP="007C1F31">
      <w:pPr>
        <w:spacing w:after="0"/>
        <w:ind w:left="567"/>
        <w:rPr>
          <w:rFonts w:cs="Arial"/>
          <w:b/>
          <w:color w:val="000000"/>
          <w:sz w:val="17"/>
          <w:szCs w:val="17"/>
        </w:rPr>
      </w:pPr>
      <w:r w:rsidRPr="007C1F31">
        <w:rPr>
          <w:rFonts w:cs="Arial"/>
          <w:b/>
          <w:color w:val="000000"/>
          <w:sz w:val="17"/>
          <w:szCs w:val="17"/>
        </w:rPr>
        <w:t>Fonte G</w:t>
      </w:r>
    </w:p>
    <w:p w14:paraId="6331795A" w14:textId="77777777" w:rsidR="008D00A7" w:rsidRDefault="004E3C0A" w:rsidP="008D00A7">
      <w:pPr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eastAsia="pt-PT"/>
        </w:rPr>
        <w:pict w14:anchorId="40702934">
          <v:rect id="_x0000_s1048" style="position:absolute;margin-left:25.4pt;margin-top:3.65pt;width:429.5pt;height:151pt;z-index:251670528" fillcolor="#ffc" stroked="f">
            <v:textbox>
              <w:txbxContent>
                <w:p w14:paraId="4B67651E" w14:textId="77777777" w:rsidR="007C1F31" w:rsidRPr="007C1F31" w:rsidRDefault="007C1F31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C1F31">
                    <w:rPr>
                      <w:rFonts w:cs="Arial"/>
                      <w:sz w:val="18"/>
                      <w:szCs w:val="18"/>
                    </w:rPr>
                    <w:t>Como forma de reação e vontade de esquecimento dos horrores da guerra, instalou-se um clima de</w:t>
                  </w:r>
                </w:p>
                <w:p w14:paraId="589EFB80" w14:textId="77777777" w:rsidR="007C1F31" w:rsidRPr="007C1F31" w:rsidRDefault="007C1F31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C1F31">
                    <w:rPr>
                      <w:rFonts w:cs="Arial"/>
                      <w:sz w:val="18"/>
                      <w:szCs w:val="18"/>
                    </w:rPr>
                    <w:t>euforia e de trepidante vontade de viver a que as inovações tecnológicas militares, agora aplicadas ao</w:t>
                  </w:r>
                </w:p>
                <w:p w14:paraId="662341E7" w14:textId="77777777" w:rsidR="007C1F31" w:rsidRPr="007C1F31" w:rsidRDefault="004E3C0A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quotidiano, [...</w:t>
                  </w:r>
                  <w:r w:rsidR="007C1F31" w:rsidRPr="007C1F31">
                    <w:rPr>
                      <w:rFonts w:cs="Arial"/>
                      <w:sz w:val="18"/>
                      <w:szCs w:val="18"/>
                    </w:rPr>
                    <w:t>] davam capacidade de expressão e usufruto. O automóvel passa a ser o grande símbolo</w:t>
                  </w:r>
                </w:p>
                <w:p w14:paraId="71A4240A" w14:textId="77777777" w:rsidR="007C1F31" w:rsidRPr="007C1F31" w:rsidRDefault="004E3C0A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>
                    <w:rPr>
                      <w:rFonts w:cs="Arial"/>
                      <w:sz w:val="18"/>
                      <w:szCs w:val="18"/>
                    </w:rPr>
                    <w:t>deste novo período. [...</w:t>
                  </w:r>
                  <w:r w:rsidR="007C1F31" w:rsidRPr="007C1F31">
                    <w:rPr>
                      <w:rFonts w:cs="Arial"/>
                      <w:sz w:val="18"/>
                      <w:szCs w:val="18"/>
                    </w:rPr>
                    <w:t>] A emancipação feminina, o acesso da mulher ao mundo do trabalho, vai</w:t>
                  </w:r>
                </w:p>
                <w:p w14:paraId="41078DC4" w14:textId="77777777" w:rsidR="007C1F31" w:rsidRPr="007C1F31" w:rsidRDefault="007C1F31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C1F31">
                    <w:rPr>
                      <w:rFonts w:cs="Arial"/>
                      <w:sz w:val="18"/>
                      <w:szCs w:val="18"/>
                    </w:rPr>
                    <w:t>conferir-lhe direitos políticos e libertação de restrições de vida e de prazer (saias curtas, cabelo “à</w:t>
                  </w:r>
                </w:p>
                <w:p w14:paraId="59D6750A" w14:textId="77777777" w:rsidR="007C1F31" w:rsidRPr="007C1F31" w:rsidRDefault="007C1F31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C1F31">
                    <w:rPr>
                      <w:rFonts w:cs="Arial"/>
                      <w:sz w:val="18"/>
                      <w:szCs w:val="18"/>
                    </w:rPr>
                    <w:t xml:space="preserve">garçonne”, </w:t>
                  </w:r>
                  <w:r w:rsidR="004E3C0A">
                    <w:rPr>
                      <w:rFonts w:cs="Arial"/>
                      <w:sz w:val="18"/>
                      <w:szCs w:val="18"/>
                    </w:rPr>
                    <w:t>participação na boémia, etc.) [...</w:t>
                  </w:r>
                  <w:bookmarkStart w:id="0" w:name="_GoBack"/>
                  <w:bookmarkEnd w:id="0"/>
                  <w:r w:rsidRPr="007C1F31">
                    <w:rPr>
                      <w:rFonts w:cs="Arial"/>
                      <w:sz w:val="18"/>
                      <w:szCs w:val="18"/>
                    </w:rPr>
                    <w:t>].</w:t>
                  </w:r>
                </w:p>
                <w:p w14:paraId="1354DC7F" w14:textId="77777777" w:rsidR="007C1F31" w:rsidRPr="007C1F31" w:rsidRDefault="007C1F31" w:rsidP="007C1F31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7C1F31">
                    <w:rPr>
                      <w:rFonts w:cs="Arial"/>
                      <w:sz w:val="18"/>
                      <w:szCs w:val="18"/>
                    </w:rPr>
                    <w:t>A expansão da eletricidade, nas suas possibilidades iluminantes e energéticas, deu origem a um mundo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7C1F31">
                    <w:rPr>
                      <w:rFonts w:cs="Arial"/>
                      <w:sz w:val="18"/>
                      <w:szCs w:val="18"/>
                    </w:rPr>
                    <w:t>novo. De facto, a modificação conceptual da realidade noite vai ser um dos mais decisivos fenómenos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7C1F31">
                    <w:rPr>
                      <w:rFonts w:cs="Arial"/>
                      <w:sz w:val="18"/>
                      <w:szCs w:val="18"/>
                    </w:rPr>
                    <w:t>de mudança nos hábitos de viver da Humanidade. A vulgarização da eletricidade alterou ritmos de</w:t>
                  </w:r>
                  <w:r>
                    <w:rPr>
                      <w:rFonts w:cs="Arial"/>
                      <w:sz w:val="18"/>
                      <w:szCs w:val="18"/>
                    </w:rPr>
                    <w:t xml:space="preserve"> </w:t>
                  </w:r>
                  <w:r w:rsidRPr="007C1F31">
                    <w:rPr>
                      <w:rFonts w:cs="Arial"/>
                      <w:sz w:val="18"/>
                      <w:szCs w:val="18"/>
                    </w:rPr>
                    <w:t>trabalho e de desfrute, desvalorizando o fator escuridão enquanto referência para o descanso humano.</w:t>
                  </w:r>
                </w:p>
                <w:p w14:paraId="399BC223" w14:textId="77777777" w:rsidR="007C1F31" w:rsidRPr="007C1F31" w:rsidRDefault="007C1F31" w:rsidP="007C1F31">
                  <w:pPr>
                    <w:jc w:val="right"/>
                    <w:rPr>
                      <w:rFonts w:cs="Arial"/>
                    </w:rPr>
                  </w:pPr>
                  <w:r w:rsidRPr="007C1F31">
                    <w:rPr>
                      <w:rFonts w:cs="Arial"/>
                      <w:sz w:val="14"/>
                      <w:szCs w:val="14"/>
                    </w:rPr>
                    <w:t xml:space="preserve">Luís Maria Graça, </w:t>
                  </w:r>
                  <w:r w:rsidRPr="007C1F31">
                    <w:rPr>
                      <w:rFonts w:cs="Arial"/>
                      <w:i/>
                      <w:iCs/>
                      <w:sz w:val="14"/>
                      <w:szCs w:val="14"/>
                    </w:rPr>
                    <w:t>Nótulas de História Geral Contemporânea</w:t>
                  </w:r>
                  <w:r w:rsidRPr="007C1F31">
                    <w:rPr>
                      <w:rFonts w:cs="Arial"/>
                      <w:sz w:val="14"/>
                      <w:szCs w:val="14"/>
                    </w:rPr>
                    <w:t>, Universidade Católica Editora, 2003</w:t>
                  </w:r>
                </w:p>
              </w:txbxContent>
            </v:textbox>
          </v:rect>
        </w:pict>
      </w:r>
    </w:p>
    <w:p w14:paraId="7C09526D" w14:textId="77777777" w:rsidR="008D00A7" w:rsidRPr="008D00A7" w:rsidRDefault="008D00A7" w:rsidP="008D00A7">
      <w:pPr>
        <w:rPr>
          <w:rFonts w:cs="Arial"/>
          <w:color w:val="000000"/>
          <w:sz w:val="21"/>
          <w:szCs w:val="21"/>
        </w:rPr>
      </w:pPr>
    </w:p>
    <w:p w14:paraId="0CAC0C8C" w14:textId="77777777" w:rsidR="008D00A7" w:rsidRDefault="008D00A7" w:rsidP="00B81C16">
      <w:pPr>
        <w:rPr>
          <w:rFonts w:cs="Arial"/>
          <w:color w:val="000000"/>
          <w:sz w:val="21"/>
          <w:szCs w:val="21"/>
        </w:rPr>
      </w:pPr>
    </w:p>
    <w:p w14:paraId="3F6A0E88" w14:textId="77777777" w:rsidR="008D00A7" w:rsidRPr="008D00A7" w:rsidRDefault="008D00A7" w:rsidP="00B81C16">
      <w:pPr>
        <w:rPr>
          <w:rFonts w:cs="Arial"/>
          <w:color w:val="000000"/>
          <w:sz w:val="21"/>
          <w:szCs w:val="21"/>
        </w:rPr>
      </w:pPr>
    </w:p>
    <w:p w14:paraId="62BC4FAC" w14:textId="77777777" w:rsidR="00B81C16" w:rsidRPr="00B81C16" w:rsidRDefault="00B81C16" w:rsidP="00B81C16">
      <w:pPr>
        <w:autoSpaceDE w:val="0"/>
        <w:autoSpaceDN w:val="0"/>
        <w:adjustRightInd w:val="0"/>
        <w:spacing w:before="120" w:after="0"/>
        <w:rPr>
          <w:rFonts w:cs="Arial"/>
          <w:sz w:val="21"/>
          <w:szCs w:val="21"/>
        </w:rPr>
      </w:pPr>
      <w:r w:rsidRPr="00B81C16">
        <w:rPr>
          <w:rFonts w:cs="Arial"/>
          <w:sz w:val="21"/>
          <w:szCs w:val="21"/>
        </w:rPr>
        <w:t xml:space="preserve"> </w:t>
      </w:r>
    </w:p>
    <w:p w14:paraId="6D495246" w14:textId="77777777" w:rsidR="007C1F31" w:rsidRDefault="007C1F31">
      <w:pPr>
        <w:rPr>
          <w:rFonts w:cs="Arial"/>
          <w:color w:val="000000"/>
          <w:sz w:val="21"/>
          <w:szCs w:val="21"/>
        </w:rPr>
      </w:pPr>
    </w:p>
    <w:p w14:paraId="30E62AA3" w14:textId="77777777" w:rsidR="007C1F31" w:rsidRDefault="007C1F31">
      <w:pPr>
        <w:rPr>
          <w:rFonts w:cs="Arial"/>
          <w:color w:val="000000"/>
          <w:sz w:val="21"/>
          <w:szCs w:val="21"/>
        </w:rPr>
      </w:pPr>
    </w:p>
    <w:p w14:paraId="08FE7594" w14:textId="77777777" w:rsidR="007C1F31" w:rsidRDefault="007C1F31">
      <w:pPr>
        <w:rPr>
          <w:rFonts w:cs="Arial"/>
          <w:color w:val="000000"/>
          <w:sz w:val="21"/>
          <w:szCs w:val="21"/>
        </w:rPr>
      </w:pPr>
    </w:p>
    <w:p w14:paraId="24F15162" w14:textId="77777777" w:rsidR="007C1F31" w:rsidRDefault="007C1F31" w:rsidP="007C1F31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color w:val="000000"/>
          <w:sz w:val="21"/>
          <w:szCs w:val="21"/>
        </w:rPr>
      </w:pPr>
      <w:r w:rsidRPr="007C1F31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7C1F31">
        <w:rPr>
          <w:rFonts w:cs="Arial"/>
          <w:color w:val="000000"/>
          <w:sz w:val="21"/>
          <w:szCs w:val="21"/>
        </w:rPr>
        <w:t>Quais foram as principais mudanças ocorridas na sociedade ocidental no período entre guerras?</w:t>
      </w:r>
    </w:p>
    <w:p w14:paraId="58CBF34B" w14:textId="77777777" w:rsidR="007C1F31" w:rsidRPr="007C1F31" w:rsidRDefault="007C1F31" w:rsidP="007C1F31">
      <w:pPr>
        <w:autoSpaceDE w:val="0"/>
        <w:autoSpaceDN w:val="0"/>
        <w:adjustRightInd w:val="0"/>
        <w:spacing w:after="0" w:line="240" w:lineRule="auto"/>
        <w:ind w:left="426"/>
        <w:rPr>
          <w:rFonts w:cs="Arial"/>
          <w:color w:val="000000"/>
          <w:sz w:val="21"/>
          <w:szCs w:val="21"/>
        </w:rPr>
      </w:pPr>
    </w:p>
    <w:p w14:paraId="23416428" w14:textId="77777777" w:rsidR="007C1F31" w:rsidRDefault="007C1F31" w:rsidP="007C1F31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7C1F31">
        <w:rPr>
          <w:rFonts w:cs="Arial"/>
          <w:b/>
          <w:bCs/>
          <w:color w:val="004366"/>
          <w:sz w:val="22"/>
          <w:szCs w:val="22"/>
        </w:rPr>
        <w:t xml:space="preserve">5. </w:t>
      </w:r>
      <w:r w:rsidRPr="007C1F31">
        <w:rPr>
          <w:rFonts w:cs="Arial"/>
          <w:color w:val="000000"/>
          <w:sz w:val="21"/>
          <w:szCs w:val="21"/>
        </w:rPr>
        <w:t xml:space="preserve">Preenche o seguinte quadro sobre a </w:t>
      </w:r>
      <w:r w:rsidRPr="007C1F31">
        <w:rPr>
          <w:rFonts w:cs="Arial"/>
          <w:i/>
          <w:color w:val="000000"/>
          <w:sz w:val="21"/>
          <w:szCs w:val="21"/>
        </w:rPr>
        <w:t>Revolução Soviética de 1917</w:t>
      </w:r>
      <w:r w:rsidRPr="007C1F31">
        <w:rPr>
          <w:rFonts w:cs="Arial"/>
          <w:color w:val="000000"/>
          <w:sz w:val="21"/>
          <w:szCs w:val="21"/>
        </w:rPr>
        <w:t>.</w:t>
      </w:r>
    </w:p>
    <w:tbl>
      <w:tblPr>
        <w:tblStyle w:val="Tablaconcuadrcula"/>
        <w:tblW w:w="0" w:type="auto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3"/>
      </w:tblGrid>
      <w:tr w:rsidR="007C1F31" w:rsidRPr="007C1F31" w14:paraId="4B4F2B4A" w14:textId="77777777" w:rsidTr="007C1F31">
        <w:tc>
          <w:tcPr>
            <w:tcW w:w="10769" w:type="dxa"/>
            <w:gridSpan w:val="4"/>
            <w:shd w:val="clear" w:color="auto" w:fill="EEECE1" w:themeFill="background2"/>
            <w:vAlign w:val="center"/>
          </w:tcPr>
          <w:p w14:paraId="1EAC1931" w14:textId="77777777" w:rsidR="007C1F31" w:rsidRPr="007C1F31" w:rsidRDefault="007C1F31" w:rsidP="007C1F3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sz w:val="21"/>
                <w:szCs w:val="21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1. Revolução de Fevereiro</w:t>
            </w:r>
          </w:p>
        </w:tc>
      </w:tr>
      <w:tr w:rsidR="007C1F31" w:rsidRPr="007C1F31" w14:paraId="3B4B6622" w14:textId="77777777" w:rsidTr="007C1F31">
        <w:tc>
          <w:tcPr>
            <w:tcW w:w="2692" w:type="dxa"/>
            <w:shd w:val="clear" w:color="auto" w:fill="EEECE1" w:themeFill="background2"/>
            <w:vAlign w:val="center"/>
          </w:tcPr>
          <w:p w14:paraId="373CA274" w14:textId="77777777" w:rsidR="007C1F31" w:rsidRPr="007C1F31" w:rsidRDefault="007C1F31" w:rsidP="007C1F3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Manifestantes</w:t>
            </w:r>
          </w:p>
        </w:tc>
        <w:tc>
          <w:tcPr>
            <w:tcW w:w="2692" w:type="dxa"/>
            <w:shd w:val="clear" w:color="auto" w:fill="EEECE1" w:themeFill="background2"/>
            <w:vAlign w:val="center"/>
          </w:tcPr>
          <w:p w14:paraId="2C311D8D" w14:textId="77777777" w:rsidR="007C1F31" w:rsidRPr="007C1F31" w:rsidRDefault="007C1F31" w:rsidP="007C1F3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Ideologia</w:t>
            </w:r>
          </w:p>
        </w:tc>
        <w:tc>
          <w:tcPr>
            <w:tcW w:w="2692" w:type="dxa"/>
            <w:shd w:val="clear" w:color="auto" w:fill="EEECE1" w:themeFill="background2"/>
            <w:vAlign w:val="center"/>
          </w:tcPr>
          <w:p w14:paraId="734762CA" w14:textId="77777777" w:rsidR="007C1F31" w:rsidRPr="007C1F31" w:rsidRDefault="007C1F31" w:rsidP="007C1F31">
            <w:pPr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Medidas</w:t>
            </w:r>
          </w:p>
        </w:tc>
        <w:tc>
          <w:tcPr>
            <w:tcW w:w="2693" w:type="dxa"/>
            <w:shd w:val="clear" w:color="auto" w:fill="EEECE1" w:themeFill="background2"/>
            <w:vAlign w:val="center"/>
          </w:tcPr>
          <w:p w14:paraId="14A5E4E8" w14:textId="77777777" w:rsidR="007C1F31" w:rsidRPr="007C1F31" w:rsidRDefault="007C1F31" w:rsidP="007C1F31">
            <w:pPr>
              <w:spacing w:before="120" w:after="120"/>
              <w:jc w:val="center"/>
              <w:rPr>
                <w:rFonts w:cs="Arial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Fracasso</w:t>
            </w:r>
          </w:p>
        </w:tc>
      </w:tr>
      <w:tr w:rsidR="007C1F31" w:rsidRPr="007C1F31" w14:paraId="1C11C6FF" w14:textId="77777777" w:rsidTr="007C1F31">
        <w:tc>
          <w:tcPr>
            <w:tcW w:w="2692" w:type="dxa"/>
          </w:tcPr>
          <w:p w14:paraId="5699F5A0" w14:textId="77777777" w:rsidR="007C1F31" w:rsidRPr="007C1F31" w:rsidRDefault="007C1F31" w:rsidP="007C1F31">
            <w:pPr>
              <w:spacing w:before="120" w:after="120"/>
              <w:rPr>
                <w:rFonts w:cs="Arial"/>
                <w:sz w:val="17"/>
                <w:szCs w:val="17"/>
              </w:rPr>
            </w:pPr>
            <w:r w:rsidRPr="007C1F31">
              <w:rPr>
                <w:rFonts w:cs="Arial"/>
                <w:sz w:val="17"/>
                <w:szCs w:val="17"/>
              </w:rPr>
              <w:t>a)</w:t>
            </w:r>
          </w:p>
        </w:tc>
        <w:tc>
          <w:tcPr>
            <w:tcW w:w="2692" w:type="dxa"/>
          </w:tcPr>
          <w:p w14:paraId="6B70DBB5" w14:textId="77777777" w:rsidR="007C1F31" w:rsidRDefault="007C1F31" w:rsidP="007C1F31">
            <w:pPr>
              <w:spacing w:before="120" w:after="120"/>
              <w:rPr>
                <w:rFonts w:cs="Arial"/>
                <w:sz w:val="17"/>
                <w:szCs w:val="17"/>
              </w:rPr>
            </w:pPr>
            <w:r w:rsidRPr="007C1F31">
              <w:rPr>
                <w:rFonts w:cs="Arial"/>
                <w:sz w:val="17"/>
                <w:szCs w:val="17"/>
              </w:rPr>
              <w:t>b)</w:t>
            </w:r>
          </w:p>
          <w:p w14:paraId="63A98DC3" w14:textId="77777777" w:rsidR="007C1F31" w:rsidRDefault="007C1F31" w:rsidP="007C1F31">
            <w:pPr>
              <w:spacing w:before="120" w:after="120"/>
              <w:rPr>
                <w:rFonts w:cs="Arial"/>
                <w:sz w:val="17"/>
                <w:szCs w:val="17"/>
              </w:rPr>
            </w:pPr>
          </w:p>
          <w:p w14:paraId="7AB057F7" w14:textId="77777777" w:rsidR="007C1F31" w:rsidRPr="007C1F31" w:rsidRDefault="007C1F31" w:rsidP="007C1F31">
            <w:pPr>
              <w:spacing w:before="120" w:after="120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</w:tcPr>
          <w:p w14:paraId="5A2B8EAC" w14:textId="77777777" w:rsidR="007C1F31" w:rsidRPr="007C1F31" w:rsidRDefault="007C1F31" w:rsidP="007C1F31">
            <w:pPr>
              <w:spacing w:before="120" w:after="120"/>
              <w:rPr>
                <w:rFonts w:cs="Arial"/>
                <w:sz w:val="17"/>
                <w:szCs w:val="17"/>
              </w:rPr>
            </w:pPr>
            <w:r w:rsidRPr="007C1F31">
              <w:rPr>
                <w:rFonts w:cs="Arial"/>
                <w:sz w:val="17"/>
                <w:szCs w:val="17"/>
              </w:rPr>
              <w:t>c)</w:t>
            </w:r>
          </w:p>
        </w:tc>
        <w:tc>
          <w:tcPr>
            <w:tcW w:w="2693" w:type="dxa"/>
          </w:tcPr>
          <w:p w14:paraId="540D44B5" w14:textId="77777777" w:rsidR="007C1F31" w:rsidRPr="007C1F31" w:rsidRDefault="007C1F31" w:rsidP="007C1F31">
            <w:pPr>
              <w:spacing w:before="120" w:after="120"/>
              <w:rPr>
                <w:rFonts w:cs="Arial"/>
              </w:rPr>
            </w:pPr>
            <w:r w:rsidRPr="007C1F31">
              <w:rPr>
                <w:rFonts w:cs="Arial"/>
                <w:sz w:val="17"/>
                <w:szCs w:val="17"/>
              </w:rPr>
              <w:t>d)</w:t>
            </w:r>
          </w:p>
        </w:tc>
      </w:tr>
    </w:tbl>
    <w:p w14:paraId="710BE60C" w14:textId="77777777" w:rsidR="007C1F31" w:rsidRDefault="007C1F31" w:rsidP="007C1F31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</w:p>
    <w:tbl>
      <w:tblPr>
        <w:tblStyle w:val="Tablaconcuadrcula"/>
        <w:tblW w:w="0" w:type="auto"/>
        <w:tblBorders>
          <w:top w:val="single" w:sz="4" w:space="0" w:color="17365D" w:themeColor="text2" w:themeShade="BF"/>
          <w:left w:val="single" w:sz="4" w:space="0" w:color="17365D" w:themeColor="text2" w:themeShade="BF"/>
          <w:bottom w:val="single" w:sz="4" w:space="0" w:color="17365D" w:themeColor="text2" w:themeShade="BF"/>
          <w:right w:val="single" w:sz="4" w:space="0" w:color="17365D" w:themeColor="text2" w:themeShade="BF"/>
          <w:insideH w:val="single" w:sz="4" w:space="0" w:color="17365D" w:themeColor="text2" w:themeShade="BF"/>
          <w:insideV w:val="single" w:sz="4" w:space="0" w:color="17365D" w:themeColor="text2" w:themeShade="BF"/>
        </w:tblBorders>
        <w:tblLook w:val="04A0" w:firstRow="1" w:lastRow="0" w:firstColumn="1" w:lastColumn="0" w:noHBand="0" w:noVBand="1"/>
      </w:tblPr>
      <w:tblGrid>
        <w:gridCol w:w="3589"/>
        <w:gridCol w:w="3590"/>
        <w:gridCol w:w="3590"/>
      </w:tblGrid>
      <w:tr w:rsidR="007C1F31" w:rsidRPr="007C1F31" w14:paraId="447A944F" w14:textId="77777777" w:rsidTr="00FB4BDD">
        <w:tc>
          <w:tcPr>
            <w:tcW w:w="10769" w:type="dxa"/>
            <w:gridSpan w:val="3"/>
            <w:shd w:val="clear" w:color="auto" w:fill="EEECE1" w:themeFill="background2"/>
            <w:vAlign w:val="center"/>
          </w:tcPr>
          <w:p w14:paraId="70854A26" w14:textId="77777777" w:rsidR="007C1F31" w:rsidRPr="007C1F31" w:rsidRDefault="007C1F31" w:rsidP="00FB4BD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1. Revolução de Outubro</w:t>
            </w:r>
          </w:p>
        </w:tc>
      </w:tr>
      <w:tr w:rsidR="007C1F31" w:rsidRPr="007C1F31" w14:paraId="2903A003" w14:textId="77777777" w:rsidTr="007C1F31">
        <w:tc>
          <w:tcPr>
            <w:tcW w:w="3589" w:type="dxa"/>
            <w:shd w:val="clear" w:color="auto" w:fill="EEECE1" w:themeFill="background2"/>
            <w:vAlign w:val="center"/>
          </w:tcPr>
          <w:p w14:paraId="2D9861F5" w14:textId="77777777" w:rsidR="007C1F31" w:rsidRPr="007C1F31" w:rsidRDefault="007C1F31" w:rsidP="007C1F31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Líder da revolução</w:t>
            </w:r>
          </w:p>
        </w:tc>
        <w:tc>
          <w:tcPr>
            <w:tcW w:w="3590" w:type="dxa"/>
            <w:shd w:val="clear" w:color="auto" w:fill="EEECE1" w:themeFill="background2"/>
            <w:vAlign w:val="center"/>
          </w:tcPr>
          <w:p w14:paraId="49F2C3E1" w14:textId="77777777" w:rsidR="007C1F31" w:rsidRPr="007C1F31" w:rsidRDefault="007C1F31" w:rsidP="007C1F3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Objetivos</w:t>
            </w:r>
          </w:p>
        </w:tc>
        <w:tc>
          <w:tcPr>
            <w:tcW w:w="3590" w:type="dxa"/>
            <w:shd w:val="clear" w:color="auto" w:fill="EEECE1" w:themeFill="background2"/>
            <w:vAlign w:val="center"/>
          </w:tcPr>
          <w:p w14:paraId="01515A58" w14:textId="77777777" w:rsidR="007C1F31" w:rsidRPr="007C1F31" w:rsidRDefault="007C1F31" w:rsidP="007C1F31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7C1F31">
              <w:rPr>
                <w:rFonts w:cs="Arial"/>
                <w:b/>
                <w:bCs/>
                <w:sz w:val="18"/>
                <w:szCs w:val="18"/>
              </w:rPr>
              <w:t>Ideologia</w:t>
            </w:r>
          </w:p>
        </w:tc>
      </w:tr>
      <w:tr w:rsidR="007C1F31" w:rsidRPr="007C1F31" w14:paraId="56B0C95C" w14:textId="77777777" w:rsidTr="007C1F31">
        <w:tc>
          <w:tcPr>
            <w:tcW w:w="3589" w:type="dxa"/>
          </w:tcPr>
          <w:p w14:paraId="0B1E55DB" w14:textId="77777777" w:rsidR="007C1F31" w:rsidRPr="007C1F31" w:rsidRDefault="007C1F31" w:rsidP="00FB4BDD">
            <w:pPr>
              <w:spacing w:before="120" w:after="120"/>
              <w:rPr>
                <w:rFonts w:cs="Arial"/>
                <w:sz w:val="17"/>
                <w:szCs w:val="17"/>
              </w:rPr>
            </w:pPr>
            <w:r w:rsidRPr="007C1F31">
              <w:rPr>
                <w:rFonts w:cs="Arial"/>
                <w:sz w:val="17"/>
                <w:szCs w:val="17"/>
              </w:rPr>
              <w:t>a)</w:t>
            </w:r>
          </w:p>
        </w:tc>
        <w:tc>
          <w:tcPr>
            <w:tcW w:w="3590" w:type="dxa"/>
          </w:tcPr>
          <w:p w14:paraId="25D06B78" w14:textId="77777777" w:rsidR="007C1F31" w:rsidRDefault="007C1F31" w:rsidP="00FB4BDD">
            <w:pPr>
              <w:spacing w:before="120" w:after="120"/>
              <w:rPr>
                <w:rFonts w:cs="Arial"/>
                <w:sz w:val="17"/>
                <w:szCs w:val="17"/>
              </w:rPr>
            </w:pPr>
            <w:r w:rsidRPr="007C1F31">
              <w:rPr>
                <w:rFonts w:cs="Arial"/>
                <w:sz w:val="17"/>
                <w:szCs w:val="17"/>
              </w:rPr>
              <w:t>b)</w:t>
            </w:r>
          </w:p>
          <w:p w14:paraId="47B79F91" w14:textId="77777777" w:rsidR="007C1F31" w:rsidRDefault="007C1F31" w:rsidP="00FB4BDD">
            <w:pPr>
              <w:spacing w:before="120" w:after="120"/>
              <w:rPr>
                <w:rFonts w:cs="Arial"/>
                <w:sz w:val="17"/>
                <w:szCs w:val="17"/>
              </w:rPr>
            </w:pPr>
          </w:p>
          <w:p w14:paraId="6A714C03" w14:textId="77777777" w:rsidR="007C1F31" w:rsidRPr="007C1F31" w:rsidRDefault="007C1F31" w:rsidP="00FB4BDD">
            <w:pPr>
              <w:spacing w:before="120" w:after="120"/>
              <w:rPr>
                <w:rFonts w:cs="Arial"/>
                <w:sz w:val="17"/>
                <w:szCs w:val="17"/>
              </w:rPr>
            </w:pPr>
          </w:p>
        </w:tc>
        <w:tc>
          <w:tcPr>
            <w:tcW w:w="3590" w:type="dxa"/>
          </w:tcPr>
          <w:p w14:paraId="177DF871" w14:textId="77777777" w:rsidR="007C1F31" w:rsidRPr="007C1F31" w:rsidRDefault="007C1F31" w:rsidP="00FB4BDD">
            <w:pPr>
              <w:spacing w:before="120" w:after="120"/>
              <w:rPr>
                <w:rFonts w:cs="Arial"/>
              </w:rPr>
            </w:pPr>
            <w:r w:rsidRPr="007C1F31">
              <w:rPr>
                <w:rFonts w:cs="Arial"/>
                <w:sz w:val="17"/>
                <w:szCs w:val="17"/>
              </w:rPr>
              <w:t>c)</w:t>
            </w:r>
          </w:p>
        </w:tc>
      </w:tr>
    </w:tbl>
    <w:p w14:paraId="5729C51B" w14:textId="77777777" w:rsidR="00B81C16" w:rsidRPr="00B81C16" w:rsidRDefault="007C1F31" w:rsidP="007C1F31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noProof/>
          <w:color w:val="000000"/>
          <w:sz w:val="21"/>
          <w:szCs w:val="21"/>
          <w:lang w:val="es-ES" w:eastAsia="es-ES"/>
        </w:rPr>
        <w:drawing>
          <wp:anchor distT="0" distB="0" distL="114300" distR="114300" simplePos="0" relativeHeight="251664384" behindDoc="1" locked="0" layoutInCell="1" allowOverlap="1" wp14:anchorId="29E9878F" wp14:editId="7F02405A">
            <wp:simplePos x="0" y="0"/>
            <wp:positionH relativeFrom="column">
              <wp:posOffset>4888230</wp:posOffset>
            </wp:positionH>
            <wp:positionV relativeFrom="paragraph">
              <wp:posOffset>452120</wp:posOffset>
            </wp:positionV>
            <wp:extent cx="1440815" cy="559435"/>
            <wp:effectExtent l="19050" t="0" r="698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81C16" w:rsidRPr="00B81C16" w:rsidSect="008D00A7"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2456A708" w14:textId="77777777" w:rsidR="00727E3F" w:rsidRDefault="00727E3F" w:rsidP="00D811C8">
      <w:pPr>
        <w:spacing w:after="0" w:line="240" w:lineRule="auto"/>
      </w:pPr>
      <w:r>
        <w:separator/>
      </w:r>
    </w:p>
  </w:endnote>
  <w:endnote w:type="continuationSeparator" w:id="0">
    <w:p w14:paraId="1A9D22E5" w14:textId="77777777" w:rsidR="00727E3F" w:rsidRDefault="00727E3F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46BC0DF" w14:textId="77777777" w:rsidR="00727E3F" w:rsidRDefault="00727E3F" w:rsidP="00D811C8">
      <w:pPr>
        <w:spacing w:after="0" w:line="240" w:lineRule="auto"/>
      </w:pPr>
      <w:r>
        <w:separator/>
      </w:r>
    </w:p>
  </w:footnote>
  <w:footnote w:type="continuationSeparator" w:id="0">
    <w:p w14:paraId="2B0F97AB" w14:textId="77777777" w:rsidR="00727E3F" w:rsidRDefault="00727E3F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12289">
      <o:colormru v:ext="edit" colors="#ffc"/>
      <o:colormenu v:ext="edit" fillcolor="#ffc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71A8"/>
    <w:rsid w:val="00023A91"/>
    <w:rsid w:val="000F127B"/>
    <w:rsid w:val="00193006"/>
    <w:rsid w:val="001E563A"/>
    <w:rsid w:val="001F4A68"/>
    <w:rsid w:val="002161DE"/>
    <w:rsid w:val="00281692"/>
    <w:rsid w:val="003660E2"/>
    <w:rsid w:val="003722B6"/>
    <w:rsid w:val="003929EC"/>
    <w:rsid w:val="003E1B03"/>
    <w:rsid w:val="004371BE"/>
    <w:rsid w:val="00480FEB"/>
    <w:rsid w:val="004C4378"/>
    <w:rsid w:val="004E3C0A"/>
    <w:rsid w:val="00592C92"/>
    <w:rsid w:val="005D2BBE"/>
    <w:rsid w:val="005F2F45"/>
    <w:rsid w:val="006301E0"/>
    <w:rsid w:val="00656349"/>
    <w:rsid w:val="00692464"/>
    <w:rsid w:val="00692B2B"/>
    <w:rsid w:val="006C2E90"/>
    <w:rsid w:val="006F7DC3"/>
    <w:rsid w:val="00706292"/>
    <w:rsid w:val="00727E3F"/>
    <w:rsid w:val="00765A70"/>
    <w:rsid w:val="007C1F31"/>
    <w:rsid w:val="007D28D3"/>
    <w:rsid w:val="00855C11"/>
    <w:rsid w:val="008B6605"/>
    <w:rsid w:val="008D00A7"/>
    <w:rsid w:val="009510BC"/>
    <w:rsid w:val="009775CF"/>
    <w:rsid w:val="009905B4"/>
    <w:rsid w:val="009F1B16"/>
    <w:rsid w:val="00A6571F"/>
    <w:rsid w:val="00AC4D1E"/>
    <w:rsid w:val="00B13A39"/>
    <w:rsid w:val="00B13AC3"/>
    <w:rsid w:val="00B13DD1"/>
    <w:rsid w:val="00B165B4"/>
    <w:rsid w:val="00B219EA"/>
    <w:rsid w:val="00B81C16"/>
    <w:rsid w:val="00B861A2"/>
    <w:rsid w:val="00BA3545"/>
    <w:rsid w:val="00C77ACB"/>
    <w:rsid w:val="00CA5CB6"/>
    <w:rsid w:val="00D14502"/>
    <w:rsid w:val="00D20E3D"/>
    <w:rsid w:val="00D256F5"/>
    <w:rsid w:val="00D45168"/>
    <w:rsid w:val="00D811C8"/>
    <w:rsid w:val="00DB6556"/>
    <w:rsid w:val="00E42C1C"/>
    <w:rsid w:val="00E85871"/>
    <w:rsid w:val="00E918AB"/>
    <w:rsid w:val="00EC3E24"/>
    <w:rsid w:val="00F5270C"/>
    <w:rsid w:val="00F74984"/>
    <w:rsid w:val="00F832F2"/>
    <w:rsid w:val="00FB5727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6D622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348</Words>
  <Characters>1915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6</cp:revision>
  <dcterms:created xsi:type="dcterms:W3CDTF">2015-03-01T23:54:00Z</dcterms:created>
  <dcterms:modified xsi:type="dcterms:W3CDTF">2015-03-29T13:26:00Z</dcterms:modified>
</cp:coreProperties>
</file>