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938D2FB" w14:textId="77777777" w:rsidR="00B219EA" w:rsidRPr="00B219EA" w:rsidRDefault="00487061" w:rsidP="00B219EA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E6E6C3"/>
          <w:sz w:val="72"/>
          <w:szCs w:val="72"/>
        </w:rPr>
      </w:pPr>
      <w:r>
        <w:rPr>
          <w:rFonts w:ascii="VAGRoundedStd-Light" w:hAnsi="VAGRoundedStd-Light" w:cs="VAGRoundedStd-Light"/>
          <w:noProof/>
          <w:color w:val="E6E6C3"/>
          <w:sz w:val="72"/>
          <w:szCs w:val="72"/>
          <w:lang w:eastAsia="pt-PT"/>
        </w:rPr>
        <w:pict w14:anchorId="438695D5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6F556E4F" w14:textId="77777777"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8D00A7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1</w:t>
                  </w:r>
                  <w:r w:rsidR="002C24B6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roundrect>
        </w:pict>
      </w:r>
      <w:r w:rsidR="00B219EA" w:rsidRPr="00B219EA">
        <w:rPr>
          <w:rFonts w:ascii="VAGRoundedStd-Light" w:hAnsi="VAGRoundedStd-Light" w:cs="VAGRoundedStd-Light"/>
          <w:color w:val="E6E6C3"/>
          <w:sz w:val="72"/>
          <w:szCs w:val="72"/>
        </w:rPr>
        <w:t>Ficha de avaliação</w:t>
      </w:r>
    </w:p>
    <w:p w14:paraId="2402B290" w14:textId="77777777" w:rsidR="002C24B6" w:rsidRPr="008B6605" w:rsidRDefault="002C24B6" w:rsidP="002C24B6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28"/>
          <w:szCs w:val="28"/>
        </w:rPr>
      </w:pPr>
      <w:r w:rsidRPr="00B219EA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29555E">
        <w:rPr>
          <w:rFonts w:cs="Arial"/>
          <w:color w:val="004366"/>
          <w:sz w:val="32"/>
          <w:szCs w:val="32"/>
        </w:rPr>
        <w:t xml:space="preserve">| </w:t>
      </w:r>
      <w:r w:rsidRPr="008B6605">
        <w:rPr>
          <w:rFonts w:cs="Arial"/>
          <w:color w:val="004366"/>
          <w:sz w:val="32"/>
          <w:szCs w:val="32"/>
        </w:rPr>
        <w:t xml:space="preserve">9.1. </w:t>
      </w:r>
      <w:r w:rsidRPr="008B6605">
        <w:rPr>
          <w:rFonts w:cs="Arial"/>
          <w:color w:val="004366"/>
          <w:sz w:val="28"/>
          <w:szCs w:val="28"/>
        </w:rPr>
        <w:t>Apogeu e declínio da influência europeia</w:t>
      </w:r>
    </w:p>
    <w:p w14:paraId="16890DD0" w14:textId="77777777" w:rsidR="002C24B6" w:rsidRPr="008B6605" w:rsidRDefault="002C24B6" w:rsidP="002C24B6">
      <w:pPr>
        <w:autoSpaceDE w:val="0"/>
        <w:autoSpaceDN w:val="0"/>
        <w:adjustRightInd w:val="0"/>
        <w:spacing w:after="0"/>
        <w:ind w:left="3969" w:hanging="3969"/>
        <w:rPr>
          <w:rFonts w:cs="Arial"/>
          <w:color w:val="004366"/>
          <w:sz w:val="28"/>
          <w:szCs w:val="28"/>
        </w:rPr>
      </w:pPr>
      <w:r w:rsidRPr="008B6605">
        <w:rPr>
          <w:rFonts w:cs="Arial"/>
          <w:color w:val="004366"/>
          <w:sz w:val="28"/>
          <w:szCs w:val="28"/>
        </w:rPr>
        <w:t>9.2. As transformações políticas, económicas, sociais e culturais do após-guerra</w:t>
      </w:r>
    </w:p>
    <w:p w14:paraId="22E3B3B0" w14:textId="77777777" w:rsidR="000171A8" w:rsidRPr="00B564E1" w:rsidRDefault="000171A8" w:rsidP="002C24B6">
      <w:pPr>
        <w:autoSpaceDE w:val="0"/>
        <w:autoSpaceDN w:val="0"/>
        <w:adjustRightInd w:val="0"/>
        <w:spacing w:before="240" w:after="0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14:paraId="14713996" w14:textId="77777777"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14:paraId="56BAF061" w14:textId="77777777" w:rsidR="00B219EA" w:rsidRPr="00B219EA" w:rsidRDefault="00B219EA" w:rsidP="00B219EA">
      <w:pPr>
        <w:rPr>
          <w:rFonts w:cs="Arial"/>
        </w:rPr>
      </w:pPr>
    </w:p>
    <w:p w14:paraId="5CA49E9D" w14:textId="77777777" w:rsidR="00B219EA" w:rsidRPr="008D00A7" w:rsidRDefault="00B219EA" w:rsidP="00B219EA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8D00A7" w:rsidRPr="008D00A7">
        <w:rPr>
          <w:rFonts w:cs="Arial"/>
          <w:color w:val="CD9A00"/>
          <w:sz w:val="34"/>
          <w:szCs w:val="34"/>
        </w:rPr>
        <w:t>9.1. Apogeu e declínio da influência europeia</w:t>
      </w:r>
    </w:p>
    <w:p w14:paraId="3265E406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2C24B6" w:rsidRPr="002C24B6">
        <w:rPr>
          <w:rFonts w:cs="Arial"/>
          <w:color w:val="000000"/>
          <w:sz w:val="21"/>
          <w:szCs w:val="21"/>
        </w:rPr>
        <w:t>Observa e lê as fontes.</w:t>
      </w:r>
    </w:p>
    <w:p w14:paraId="09E97EBE" w14:textId="77777777" w:rsidR="008D00A7" w:rsidRPr="008D00A7" w:rsidRDefault="002C24B6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7"/>
          <w:szCs w:val="17"/>
        </w:rPr>
      </w:pPr>
      <w:r>
        <w:rPr>
          <w:rFonts w:cs="Arial"/>
          <w:noProof/>
          <w:color w:val="000000"/>
          <w:sz w:val="17"/>
          <w:szCs w:val="17"/>
          <w:lang w:val="es-ES" w:eastAsia="es-ES"/>
        </w:rPr>
        <w:drawing>
          <wp:anchor distT="0" distB="0" distL="114300" distR="114300" simplePos="0" relativeHeight="251671552" behindDoc="0" locked="0" layoutInCell="1" allowOverlap="1" wp14:anchorId="1D2EECED" wp14:editId="2C44087B">
            <wp:simplePos x="0" y="0"/>
            <wp:positionH relativeFrom="column">
              <wp:posOffset>111825</wp:posOffset>
            </wp:positionH>
            <wp:positionV relativeFrom="paragraph">
              <wp:posOffset>38857</wp:posOffset>
            </wp:positionV>
            <wp:extent cx="3024401" cy="4103935"/>
            <wp:effectExtent l="19050" t="0" r="4549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823" cy="4105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AFFA37" w14:textId="77777777" w:rsidR="00B81C16" w:rsidRDefault="008D00A7" w:rsidP="002C24B6">
      <w:pPr>
        <w:spacing w:after="0"/>
        <w:ind w:left="5529"/>
        <w:rPr>
          <w:rFonts w:cs="Arial"/>
          <w:b/>
          <w:color w:val="000000"/>
          <w:sz w:val="17"/>
          <w:szCs w:val="17"/>
        </w:rPr>
      </w:pPr>
      <w:r w:rsidRPr="008D00A7">
        <w:rPr>
          <w:rFonts w:cs="Arial"/>
          <w:b/>
          <w:color w:val="000000"/>
          <w:sz w:val="17"/>
          <w:szCs w:val="17"/>
        </w:rPr>
        <w:t>Fonte A</w:t>
      </w:r>
    </w:p>
    <w:p w14:paraId="431EFCDA" w14:textId="77777777" w:rsidR="008D00A7" w:rsidRPr="008D00A7" w:rsidRDefault="00487061" w:rsidP="008D00A7">
      <w:pPr>
        <w:spacing w:after="0"/>
        <w:rPr>
          <w:rFonts w:cs="Arial"/>
          <w:b/>
          <w:color w:val="000000"/>
          <w:sz w:val="21"/>
          <w:szCs w:val="21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49061BFE">
          <v:rect id="_x0000_s1029" style="position:absolute;margin-left:277.1pt;margin-top:-.25pt;width:238pt;height:102.65pt;z-index:251663360" fillcolor="#ffc" stroked="f">
            <v:textbox>
              <w:txbxContent>
                <w:p w14:paraId="2EECA691" w14:textId="77777777" w:rsidR="002C24B6" w:rsidRPr="002C24B6" w:rsidRDefault="002C24B6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2C24B6">
                    <w:rPr>
                      <w:rFonts w:cs="Arial"/>
                      <w:sz w:val="18"/>
                      <w:szCs w:val="18"/>
                    </w:rPr>
                    <w:t>Art. 35 – As potências signatárias da presente Ata</w:t>
                  </w:r>
                </w:p>
                <w:p w14:paraId="47BECFDC" w14:textId="77777777" w:rsidR="002C24B6" w:rsidRPr="002C24B6" w:rsidRDefault="002C24B6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2C24B6">
                    <w:rPr>
                      <w:rFonts w:cs="Arial"/>
                      <w:sz w:val="18"/>
                      <w:szCs w:val="18"/>
                    </w:rPr>
                    <w:t>reconhecem a obrigação de assegurar, nos territórios</w:t>
                  </w:r>
                </w:p>
                <w:p w14:paraId="7E38F3D3" w14:textId="77777777" w:rsidR="002C24B6" w:rsidRPr="002C24B6" w:rsidRDefault="002C24B6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2C24B6">
                    <w:rPr>
                      <w:rFonts w:cs="Arial"/>
                      <w:sz w:val="18"/>
                      <w:szCs w:val="18"/>
                    </w:rPr>
                    <w:t>por elas ocupados nas costas do continente africano, a</w:t>
                  </w:r>
                </w:p>
                <w:p w14:paraId="69EEDBBD" w14:textId="77777777" w:rsidR="002C24B6" w:rsidRPr="002C24B6" w:rsidRDefault="002C24B6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2C24B6">
                    <w:rPr>
                      <w:rFonts w:cs="Arial"/>
                      <w:sz w:val="18"/>
                      <w:szCs w:val="18"/>
                    </w:rPr>
                    <w:t>existência de uma autoridade suficiente para fazer</w:t>
                  </w:r>
                </w:p>
                <w:p w14:paraId="0B70C5B1" w14:textId="77777777" w:rsidR="002C24B6" w:rsidRPr="002C24B6" w:rsidRDefault="002C24B6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2C24B6">
                    <w:rPr>
                      <w:rFonts w:cs="Arial"/>
                      <w:sz w:val="18"/>
                      <w:szCs w:val="18"/>
                    </w:rPr>
                    <w:t>respeitar os direitos e, se for caso disso, a liberdade do</w:t>
                  </w:r>
                </w:p>
                <w:p w14:paraId="005CDD96" w14:textId="77777777" w:rsidR="002C24B6" w:rsidRPr="002C24B6" w:rsidRDefault="002C24B6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2C24B6">
                    <w:rPr>
                      <w:rFonts w:cs="Arial"/>
                      <w:sz w:val="18"/>
                      <w:szCs w:val="18"/>
                    </w:rPr>
                    <w:t>comércio e do trânsito nas condições em que ela for</w:t>
                  </w:r>
                </w:p>
                <w:p w14:paraId="05AD8582" w14:textId="77777777" w:rsidR="002C24B6" w:rsidRPr="002C24B6" w:rsidRDefault="00487061" w:rsidP="002C24B6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estipulada. </w:t>
                  </w:r>
                  <w:r>
                    <w:rPr>
                      <w:rFonts w:cs="Arial"/>
                      <w:sz w:val="18"/>
                      <w:szCs w:val="18"/>
                    </w:rPr>
                    <w:t>[...</w:t>
                  </w:r>
                  <w:r w:rsidR="002C24B6" w:rsidRPr="002C24B6">
                    <w:rPr>
                      <w:rFonts w:cs="Arial"/>
                      <w:sz w:val="18"/>
                      <w:szCs w:val="18"/>
                    </w:rPr>
                    <w:t>]</w:t>
                  </w:r>
                </w:p>
                <w:p w14:paraId="6CE780AD" w14:textId="77777777" w:rsidR="00B81C16" w:rsidRPr="002C24B6" w:rsidRDefault="002C24B6" w:rsidP="002C24B6">
                  <w:pPr>
                    <w:jc w:val="right"/>
                    <w:rPr>
                      <w:rFonts w:cs="Arial"/>
                    </w:rPr>
                  </w:pPr>
                  <w:r w:rsidRPr="002C24B6">
                    <w:rPr>
                      <w:rFonts w:cs="Arial"/>
                      <w:i/>
                      <w:iCs/>
                      <w:sz w:val="14"/>
                      <w:szCs w:val="14"/>
                    </w:rPr>
                    <w:t>Da Ata Geral elaborada em Berlim a 26 de fevereiro de 1885</w:t>
                  </w:r>
                </w:p>
              </w:txbxContent>
            </v:textbox>
          </v:rect>
        </w:pict>
      </w:r>
    </w:p>
    <w:p w14:paraId="16D70E1D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53453CFC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22417035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437A60DE" w14:textId="77777777" w:rsidR="002C24B6" w:rsidRDefault="002C24B6" w:rsidP="008D00A7">
      <w:pPr>
        <w:jc w:val="center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72576" behindDoc="0" locked="0" layoutInCell="1" allowOverlap="1" wp14:anchorId="0A6CB9CA" wp14:editId="08203E0C">
            <wp:simplePos x="0" y="0"/>
            <wp:positionH relativeFrom="column">
              <wp:posOffset>3455035</wp:posOffset>
            </wp:positionH>
            <wp:positionV relativeFrom="paragraph">
              <wp:posOffset>281940</wp:posOffset>
            </wp:positionV>
            <wp:extent cx="2771775" cy="2381250"/>
            <wp:effectExtent l="19050" t="0" r="952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E306A8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488324FC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6A2EBC19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1DF30225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0EA610F9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13E5D788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738A4349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1A444148" w14:textId="77777777" w:rsidR="002C24B6" w:rsidRDefault="00487061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57F906A8">
          <v:rect id="_x0000_s1050" style="position:absolute;margin-left:273.85pt;margin-top:20.3pt;width:219.2pt;height:19.9pt;z-index:251673600" stroked="f">
            <v:textbox>
              <w:txbxContent>
                <w:p w14:paraId="27E67302" w14:textId="77777777" w:rsidR="002C24B6" w:rsidRPr="002C24B6" w:rsidRDefault="002C24B6" w:rsidP="002C24B6">
                  <w:r w:rsidRPr="002C24B6">
                    <w:rPr>
                      <w:rFonts w:cs="Arial"/>
                      <w:b/>
                      <w:sz w:val="17"/>
                      <w:szCs w:val="17"/>
                    </w:rPr>
                    <w:t xml:space="preserve">Fonte C – A reação inglesa ao </w:t>
                  </w:r>
                  <w:r w:rsidRPr="002C24B6">
                    <w:rPr>
                      <w:rFonts w:cs="Arial"/>
                      <w:b/>
                      <w:i/>
                      <w:sz w:val="17"/>
                      <w:szCs w:val="17"/>
                    </w:rPr>
                    <w:t>Mapa Cor-de-Rosa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 w14:anchorId="078152FF">
          <v:rect id="_x0000_s1045" style="position:absolute;margin-left:15.95pt;margin-top:28.55pt;width:219.2pt;height:41.9pt;z-index:251667456" stroked="f">
            <v:textbox>
              <w:txbxContent>
                <w:p w14:paraId="253C92AC" w14:textId="77777777" w:rsidR="008D00A7" w:rsidRPr="002C24B6" w:rsidRDefault="002C24B6" w:rsidP="002C24B6">
                  <w:r w:rsidRPr="002C24B6">
                    <w:rPr>
                      <w:rFonts w:cs="Arial"/>
                      <w:b/>
                      <w:sz w:val="17"/>
                      <w:szCs w:val="17"/>
                    </w:rPr>
                    <w:t>Fonte A – Principais viagens de exploradores portugueses em</w:t>
                  </w:r>
                  <w:r>
                    <w:rPr>
                      <w:rFonts w:cs="Arial"/>
                      <w:b/>
                      <w:sz w:val="17"/>
                      <w:szCs w:val="17"/>
                    </w:rPr>
                    <w:t xml:space="preserve"> </w:t>
                  </w:r>
                  <w:r w:rsidRPr="002C24B6">
                    <w:rPr>
                      <w:rFonts w:cs="Arial"/>
                      <w:b/>
                      <w:sz w:val="17"/>
                      <w:szCs w:val="17"/>
                    </w:rPr>
                    <w:t>África e partilha do continente pelas potências europeias</w:t>
                  </w:r>
                </w:p>
              </w:txbxContent>
            </v:textbox>
          </v:rect>
        </w:pict>
      </w:r>
    </w:p>
    <w:p w14:paraId="47892113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72C6BF66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4DA9A2AA" w14:textId="77777777" w:rsidR="002C24B6" w:rsidRDefault="002C24B6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7FD24246" w14:textId="77777777" w:rsidR="002C24B6" w:rsidRDefault="002C24B6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4045748F" w14:textId="77777777" w:rsidR="002C24B6" w:rsidRPr="002C24B6" w:rsidRDefault="002C24B6" w:rsidP="002C24B6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2C24B6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2C24B6">
        <w:rPr>
          <w:rFonts w:cs="Arial"/>
          <w:color w:val="000000"/>
          <w:sz w:val="21"/>
          <w:szCs w:val="21"/>
        </w:rPr>
        <w:t xml:space="preserve">Assinala com um </w:t>
      </w:r>
      <w:r w:rsidRPr="002C24B6">
        <w:rPr>
          <w:rFonts w:cs="Arial"/>
          <w:b/>
          <w:bCs/>
          <w:color w:val="000000"/>
          <w:sz w:val="21"/>
          <w:szCs w:val="21"/>
        </w:rPr>
        <w:t xml:space="preserve">V </w:t>
      </w:r>
      <w:r w:rsidRPr="002C24B6">
        <w:rPr>
          <w:rFonts w:cs="Arial"/>
          <w:color w:val="000000"/>
          <w:sz w:val="21"/>
          <w:szCs w:val="21"/>
        </w:rPr>
        <w:t xml:space="preserve">as afirmações verdadeiras e com um </w:t>
      </w:r>
      <w:r w:rsidRPr="002C24B6">
        <w:rPr>
          <w:rFonts w:cs="Arial"/>
          <w:b/>
          <w:bCs/>
          <w:color w:val="000000"/>
          <w:sz w:val="21"/>
          <w:szCs w:val="21"/>
        </w:rPr>
        <w:t xml:space="preserve">F </w:t>
      </w:r>
      <w:r w:rsidRPr="002C24B6">
        <w:rPr>
          <w:rFonts w:cs="Arial"/>
          <w:color w:val="000000"/>
          <w:sz w:val="21"/>
          <w:szCs w:val="21"/>
        </w:rPr>
        <w:t>as falsas, segundo o conteúdo das fontes.</w:t>
      </w:r>
    </w:p>
    <w:p w14:paraId="439578FA" w14:textId="77777777" w:rsidR="002C24B6" w:rsidRPr="002C24B6" w:rsidRDefault="002C24B6" w:rsidP="002C24B6">
      <w:pPr>
        <w:autoSpaceDE w:val="0"/>
        <w:autoSpaceDN w:val="0"/>
        <w:adjustRightInd w:val="0"/>
        <w:spacing w:after="0" w:line="360" w:lineRule="auto"/>
        <w:ind w:left="426"/>
        <w:rPr>
          <w:rFonts w:cs="Arial"/>
          <w:color w:val="000000"/>
          <w:sz w:val="18"/>
          <w:szCs w:val="18"/>
        </w:rPr>
      </w:pPr>
      <w:r w:rsidRPr="002C24B6">
        <w:rPr>
          <w:rFonts w:cs="Arial"/>
          <w:color w:val="000000"/>
          <w:sz w:val="18"/>
          <w:szCs w:val="18"/>
          <w:bdr w:val="single" w:sz="4" w:space="0" w:color="17365D" w:themeColor="text2" w:themeShade="BF"/>
        </w:rPr>
        <w:t xml:space="preserve">    </w:t>
      </w:r>
      <w:r w:rsidRPr="002C24B6">
        <w:rPr>
          <w:rFonts w:cs="Arial"/>
          <w:color w:val="000000"/>
          <w:sz w:val="18"/>
          <w:szCs w:val="18"/>
        </w:rPr>
        <w:t>África foi o continente mais disputado pelas potências coloniais americanas, dada a sua riqueza natural.</w:t>
      </w:r>
    </w:p>
    <w:p w14:paraId="584EDF4B" w14:textId="77777777" w:rsidR="002C24B6" w:rsidRPr="002C24B6" w:rsidRDefault="002C24B6" w:rsidP="002C24B6">
      <w:pPr>
        <w:autoSpaceDE w:val="0"/>
        <w:autoSpaceDN w:val="0"/>
        <w:adjustRightInd w:val="0"/>
        <w:spacing w:after="0"/>
        <w:ind w:left="709" w:hanging="284"/>
        <w:rPr>
          <w:rFonts w:cs="Arial"/>
          <w:color w:val="000000"/>
          <w:sz w:val="18"/>
          <w:szCs w:val="18"/>
        </w:rPr>
      </w:pPr>
      <w:r w:rsidRPr="002C24B6">
        <w:rPr>
          <w:rFonts w:cs="Arial"/>
          <w:color w:val="000000"/>
          <w:sz w:val="18"/>
          <w:szCs w:val="18"/>
          <w:bdr w:val="single" w:sz="4" w:space="0" w:color="17365D" w:themeColor="text2" w:themeShade="BF"/>
        </w:rPr>
        <w:t xml:space="preserve">    </w:t>
      </w:r>
      <w:r w:rsidRPr="002C24B6">
        <w:rPr>
          <w:rFonts w:cs="Arial"/>
          <w:color w:val="000000"/>
          <w:sz w:val="18"/>
          <w:szCs w:val="18"/>
        </w:rPr>
        <w:t xml:space="preserve">A </w:t>
      </w:r>
      <w:r w:rsidRPr="002C24B6">
        <w:rPr>
          <w:rFonts w:cs="Arial"/>
          <w:i/>
          <w:iCs/>
          <w:color w:val="000000"/>
          <w:sz w:val="18"/>
          <w:szCs w:val="18"/>
        </w:rPr>
        <w:t xml:space="preserve">Conferência de Berlim </w:t>
      </w:r>
      <w:r w:rsidRPr="002C24B6">
        <w:rPr>
          <w:rFonts w:cs="Arial"/>
          <w:color w:val="000000"/>
          <w:sz w:val="18"/>
          <w:szCs w:val="18"/>
        </w:rPr>
        <w:t>(1884-1885) foi realizada com o objetivo de regular a corrida às áreas de</w:t>
      </w:r>
      <w:r>
        <w:rPr>
          <w:rFonts w:cs="Arial"/>
          <w:color w:val="000000"/>
          <w:sz w:val="18"/>
          <w:szCs w:val="18"/>
        </w:rPr>
        <w:t xml:space="preserve"> </w:t>
      </w:r>
      <w:r w:rsidRPr="002C24B6">
        <w:rPr>
          <w:rFonts w:cs="Arial"/>
          <w:color w:val="000000"/>
          <w:sz w:val="18"/>
          <w:szCs w:val="18"/>
        </w:rPr>
        <w:t>influência e resultou numa autêntica partilha da África.</w:t>
      </w:r>
    </w:p>
    <w:p w14:paraId="64D91D3B" w14:textId="77777777" w:rsidR="002C24B6" w:rsidRPr="002C24B6" w:rsidRDefault="002C24B6" w:rsidP="002C24B6">
      <w:pPr>
        <w:autoSpaceDE w:val="0"/>
        <w:autoSpaceDN w:val="0"/>
        <w:adjustRightInd w:val="0"/>
        <w:spacing w:after="0" w:line="360" w:lineRule="auto"/>
        <w:ind w:left="426"/>
        <w:rPr>
          <w:rFonts w:cs="Arial"/>
          <w:color w:val="000000"/>
          <w:sz w:val="18"/>
          <w:szCs w:val="18"/>
        </w:rPr>
      </w:pPr>
      <w:r w:rsidRPr="002C24B6">
        <w:rPr>
          <w:rFonts w:cs="Arial"/>
          <w:color w:val="000000"/>
          <w:sz w:val="18"/>
          <w:szCs w:val="18"/>
          <w:bdr w:val="single" w:sz="4" w:space="0" w:color="17365D" w:themeColor="text2" w:themeShade="BF"/>
        </w:rPr>
        <w:t xml:space="preserve">    </w:t>
      </w:r>
      <w:r w:rsidRPr="002C24B6">
        <w:rPr>
          <w:rFonts w:cs="Arial"/>
          <w:color w:val="000000"/>
          <w:sz w:val="18"/>
          <w:szCs w:val="18"/>
        </w:rPr>
        <w:t xml:space="preserve">A </w:t>
      </w:r>
      <w:r w:rsidRPr="002C24B6">
        <w:rPr>
          <w:rFonts w:cs="Arial"/>
          <w:i/>
          <w:iCs/>
          <w:color w:val="000000"/>
          <w:sz w:val="18"/>
          <w:szCs w:val="18"/>
        </w:rPr>
        <w:t xml:space="preserve">Conferência de Berlim </w:t>
      </w:r>
      <w:r w:rsidRPr="002C24B6">
        <w:rPr>
          <w:rFonts w:cs="Arial"/>
          <w:color w:val="000000"/>
          <w:sz w:val="18"/>
          <w:szCs w:val="18"/>
        </w:rPr>
        <w:t>significou o triunfo da Inglaterra em África.</w:t>
      </w:r>
    </w:p>
    <w:p w14:paraId="78434A3B" w14:textId="77777777" w:rsidR="002C24B6" w:rsidRPr="002C24B6" w:rsidRDefault="002C24B6" w:rsidP="002C24B6">
      <w:pPr>
        <w:autoSpaceDE w:val="0"/>
        <w:autoSpaceDN w:val="0"/>
        <w:adjustRightInd w:val="0"/>
        <w:spacing w:after="0" w:line="360" w:lineRule="auto"/>
        <w:ind w:left="426"/>
        <w:rPr>
          <w:rFonts w:cs="Arial"/>
          <w:color w:val="000000"/>
          <w:sz w:val="18"/>
          <w:szCs w:val="18"/>
        </w:rPr>
      </w:pPr>
      <w:r w:rsidRPr="002C24B6">
        <w:rPr>
          <w:rFonts w:cs="Arial"/>
          <w:color w:val="000000"/>
          <w:sz w:val="18"/>
          <w:szCs w:val="18"/>
          <w:bdr w:val="single" w:sz="4" w:space="0" w:color="17365D" w:themeColor="text2" w:themeShade="BF"/>
        </w:rPr>
        <w:t xml:space="preserve">    </w:t>
      </w:r>
      <w:r w:rsidRPr="002C24B6">
        <w:rPr>
          <w:rFonts w:cs="Arial"/>
          <w:color w:val="000000"/>
          <w:sz w:val="18"/>
          <w:szCs w:val="18"/>
        </w:rPr>
        <w:t>Segundo o conteúdo da fonte B, Portugal foi um dos países mais beneficiados pelas decisões tomadas.</w:t>
      </w:r>
    </w:p>
    <w:p w14:paraId="4883A58E" w14:textId="77777777" w:rsidR="002C24B6" w:rsidRPr="002C24B6" w:rsidRDefault="002C24B6" w:rsidP="002C24B6">
      <w:pPr>
        <w:autoSpaceDE w:val="0"/>
        <w:autoSpaceDN w:val="0"/>
        <w:adjustRightInd w:val="0"/>
        <w:spacing w:after="0" w:line="360" w:lineRule="auto"/>
        <w:ind w:left="426"/>
        <w:rPr>
          <w:rFonts w:cs="Arial"/>
          <w:color w:val="000000"/>
          <w:sz w:val="18"/>
          <w:szCs w:val="18"/>
        </w:rPr>
      </w:pPr>
      <w:r w:rsidRPr="002C24B6">
        <w:rPr>
          <w:rFonts w:cs="Arial"/>
          <w:color w:val="000000"/>
          <w:sz w:val="18"/>
          <w:szCs w:val="18"/>
          <w:bdr w:val="single" w:sz="4" w:space="0" w:color="17365D" w:themeColor="text2" w:themeShade="BF"/>
        </w:rPr>
        <w:t xml:space="preserve">    </w:t>
      </w:r>
      <w:r w:rsidRPr="002C24B6">
        <w:rPr>
          <w:rFonts w:cs="Arial"/>
          <w:color w:val="000000"/>
          <w:sz w:val="18"/>
          <w:szCs w:val="18"/>
        </w:rPr>
        <w:t>As reivindicações portuguesas (</w:t>
      </w:r>
      <w:r w:rsidRPr="002C24B6">
        <w:rPr>
          <w:rFonts w:cs="Arial"/>
          <w:i/>
          <w:iCs/>
          <w:color w:val="000000"/>
          <w:sz w:val="18"/>
          <w:szCs w:val="18"/>
        </w:rPr>
        <w:t>Mapa Cor-de-Rosa</w:t>
      </w:r>
      <w:r w:rsidRPr="002C24B6">
        <w:rPr>
          <w:rFonts w:cs="Arial"/>
          <w:color w:val="000000"/>
          <w:sz w:val="18"/>
          <w:szCs w:val="18"/>
        </w:rPr>
        <w:t>) colidiram com os interesses ingleses.</w:t>
      </w:r>
    </w:p>
    <w:p w14:paraId="7D73169E" w14:textId="77777777" w:rsidR="002C24B6" w:rsidRPr="002C24B6" w:rsidRDefault="002C24B6" w:rsidP="002C24B6">
      <w:pPr>
        <w:spacing w:line="360" w:lineRule="auto"/>
        <w:ind w:left="426"/>
        <w:rPr>
          <w:rFonts w:cs="Arial"/>
          <w:color w:val="000000"/>
          <w:sz w:val="21"/>
          <w:szCs w:val="21"/>
        </w:rPr>
      </w:pPr>
      <w:r w:rsidRPr="002C24B6">
        <w:rPr>
          <w:rFonts w:cs="Arial"/>
          <w:color w:val="000000"/>
          <w:sz w:val="18"/>
          <w:szCs w:val="18"/>
          <w:bdr w:val="single" w:sz="4" w:space="0" w:color="17365D" w:themeColor="text2" w:themeShade="BF"/>
        </w:rPr>
        <w:t xml:space="preserve">    </w:t>
      </w:r>
      <w:r w:rsidRPr="002C24B6">
        <w:rPr>
          <w:rFonts w:cs="Arial"/>
          <w:color w:val="000000"/>
          <w:sz w:val="18"/>
          <w:szCs w:val="18"/>
        </w:rPr>
        <w:t xml:space="preserve">O governo Português resistiu ao </w:t>
      </w:r>
      <w:r w:rsidRPr="002C24B6">
        <w:rPr>
          <w:rFonts w:cs="Arial"/>
          <w:i/>
          <w:iCs/>
          <w:color w:val="000000"/>
          <w:sz w:val="18"/>
          <w:szCs w:val="18"/>
        </w:rPr>
        <w:t>Ultimato Inglês.</w:t>
      </w:r>
    </w:p>
    <w:p w14:paraId="4337AA07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4982A77C" w14:textId="77777777" w:rsidR="002C24B6" w:rsidRDefault="00A60CFB">
      <w:pPr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val="es-ES" w:eastAsia="es-ES"/>
        </w:rPr>
        <w:lastRenderedPageBreak/>
        <w:drawing>
          <wp:anchor distT="0" distB="0" distL="114300" distR="114300" simplePos="0" relativeHeight="251675648" behindDoc="0" locked="0" layoutInCell="1" allowOverlap="1" wp14:anchorId="0759ACB3" wp14:editId="1642FB03">
            <wp:simplePos x="0" y="0"/>
            <wp:positionH relativeFrom="column">
              <wp:posOffset>3327297</wp:posOffset>
            </wp:positionH>
            <wp:positionV relativeFrom="paragraph">
              <wp:posOffset>258008</wp:posOffset>
            </wp:positionV>
            <wp:extent cx="3070746" cy="2669213"/>
            <wp:effectExtent l="1905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746" cy="266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24B6" w:rsidRPr="002C24B6">
        <w:rPr>
          <w:rFonts w:cs="Arial"/>
          <w:b/>
          <w:bCs/>
          <w:color w:val="004366"/>
          <w:sz w:val="22"/>
          <w:szCs w:val="22"/>
        </w:rPr>
        <w:t xml:space="preserve">2. </w:t>
      </w:r>
      <w:r w:rsidR="002C24B6" w:rsidRPr="002C24B6">
        <w:rPr>
          <w:rFonts w:cs="Arial"/>
          <w:color w:val="000000"/>
          <w:sz w:val="21"/>
          <w:szCs w:val="21"/>
        </w:rPr>
        <w:t>Observa as fontes.</w:t>
      </w:r>
    </w:p>
    <w:p w14:paraId="34600AD4" w14:textId="77777777" w:rsidR="002C24B6" w:rsidRDefault="00A60CFB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74624" behindDoc="0" locked="0" layoutInCell="1" allowOverlap="1" wp14:anchorId="22A46D78" wp14:editId="19086418">
            <wp:simplePos x="0" y="0"/>
            <wp:positionH relativeFrom="column">
              <wp:posOffset>16292</wp:posOffset>
            </wp:positionH>
            <wp:positionV relativeFrom="paragraph">
              <wp:posOffset>815</wp:posOffset>
            </wp:positionV>
            <wp:extent cx="2669559" cy="2661314"/>
            <wp:effectExtent l="1905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59" cy="2661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8C2521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12795316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53751C47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4ECAACDA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505617F6" w14:textId="77777777" w:rsidR="002C24B6" w:rsidRPr="002C24B6" w:rsidRDefault="002C24B6">
      <w:pPr>
        <w:rPr>
          <w:rFonts w:cs="Arial"/>
          <w:color w:val="000000"/>
          <w:sz w:val="21"/>
          <w:szCs w:val="21"/>
        </w:rPr>
      </w:pPr>
    </w:p>
    <w:p w14:paraId="11E2205F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2B00947C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504D26D2" w14:textId="77777777" w:rsidR="002C24B6" w:rsidRDefault="00487061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71F4BBD7">
          <v:rect id="_x0000_s1052" style="position:absolute;margin-left:258.8pt;margin-top:17.35pt;width:219.2pt;height:38.8pt;z-index:251677696" stroked="f">
            <v:textbox style="mso-next-textbox:#_x0000_s1052">
              <w:txbxContent>
                <w:p w14:paraId="10C7E28D" w14:textId="77777777" w:rsidR="00E970ED" w:rsidRPr="00E970ED" w:rsidRDefault="00E970ED" w:rsidP="00E970ED">
                  <w:pPr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>Fonte E – O atentado de Sarajevo, representado numa ilustração</w:t>
                  </w:r>
                  <w:r>
                    <w:rPr>
                      <w:rFonts w:cs="Arial"/>
                      <w:b/>
                      <w:sz w:val="16"/>
                      <w:szCs w:val="16"/>
                    </w:rPr>
                    <w:t xml:space="preserve"> </w:t>
                  </w:r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 xml:space="preserve">do jornal francês </w:t>
                  </w:r>
                  <w:r w:rsidRPr="00E970ED">
                    <w:rPr>
                      <w:rFonts w:cs="Arial"/>
                      <w:b/>
                      <w:i/>
                      <w:sz w:val="16"/>
                      <w:szCs w:val="16"/>
                    </w:rPr>
                    <w:t>Le Petit Journal</w:t>
                  </w:r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>, em 1914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 w14:anchorId="54D7201D">
          <v:rect id="_x0000_s1051" style="position:absolute;margin-left:15.95pt;margin-top:17.35pt;width:219.2pt;height:26.85pt;z-index:251676672" stroked="f">
            <v:textbox style="mso-next-textbox:#_x0000_s1051">
              <w:txbxContent>
                <w:p w14:paraId="593574E1" w14:textId="77777777" w:rsidR="00E970ED" w:rsidRPr="00E970ED" w:rsidRDefault="00E970ED" w:rsidP="00E970ED">
                  <w:pPr>
                    <w:rPr>
                      <w:sz w:val="16"/>
                      <w:szCs w:val="16"/>
                    </w:rPr>
                  </w:pPr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>Fonte D – Os produtos coloniais, pintura de Michel Géo, 1931</w:t>
                  </w:r>
                </w:p>
              </w:txbxContent>
            </v:textbox>
          </v:rect>
        </w:pict>
      </w:r>
    </w:p>
    <w:p w14:paraId="3AD734F5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6D177FB5" w14:textId="77777777" w:rsidR="00E970ED" w:rsidRDefault="00E970ED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79744" behindDoc="0" locked="0" layoutInCell="1" allowOverlap="1" wp14:anchorId="5BF7DFDC" wp14:editId="4F53E744">
            <wp:simplePos x="0" y="0"/>
            <wp:positionH relativeFrom="column">
              <wp:posOffset>3325874</wp:posOffset>
            </wp:positionH>
            <wp:positionV relativeFrom="paragraph">
              <wp:posOffset>51814</wp:posOffset>
            </wp:positionV>
            <wp:extent cx="3072168" cy="2681785"/>
            <wp:effectExtent l="1905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68" cy="268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78720" behindDoc="0" locked="0" layoutInCell="1" allowOverlap="1" wp14:anchorId="60DC0E91" wp14:editId="7527BBF8">
            <wp:simplePos x="0" y="0"/>
            <wp:positionH relativeFrom="column">
              <wp:posOffset>70883</wp:posOffset>
            </wp:positionH>
            <wp:positionV relativeFrom="paragraph">
              <wp:posOffset>120052</wp:posOffset>
            </wp:positionV>
            <wp:extent cx="3103112" cy="1630908"/>
            <wp:effectExtent l="19050" t="0" r="2038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112" cy="1630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8B2164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298CBCB1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172F9118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16DE0170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5DE9F69C" w14:textId="77777777" w:rsidR="00E970ED" w:rsidRDefault="00487061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10631D7F">
          <v:rect id="_x0000_s1053" style="position:absolute;margin-left:5.1pt;margin-top:16.75pt;width:240.7pt;height:58pt;z-index:251680768" stroked="f">
            <v:textbox style="mso-next-textbox:#_x0000_s1053">
              <w:txbxContent>
                <w:p w14:paraId="7312D638" w14:textId="77777777" w:rsidR="00E970ED" w:rsidRPr="00E970ED" w:rsidRDefault="00E970ED" w:rsidP="00E970ED">
                  <w:pPr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>Fonte F – Paquete britânico Lusitânia, afundado por um</w:t>
                  </w:r>
                  <w:r>
                    <w:rPr>
                      <w:rFonts w:cs="Arial"/>
                      <w:b/>
                      <w:sz w:val="16"/>
                      <w:szCs w:val="16"/>
                    </w:rPr>
                    <w:t xml:space="preserve"> </w:t>
                  </w:r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>submarino alemão. Motivo para a entrada dos EUA na Guerra.</w:t>
                  </w:r>
                </w:p>
              </w:txbxContent>
            </v:textbox>
          </v:rect>
        </w:pict>
      </w:r>
    </w:p>
    <w:p w14:paraId="73A69F1A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5A329FE1" w14:textId="77777777" w:rsidR="00E970ED" w:rsidRDefault="00E970ED">
      <w:pPr>
        <w:rPr>
          <w:rFonts w:cs="Arial"/>
          <w:color w:val="000000"/>
          <w:sz w:val="21"/>
          <w:szCs w:val="21"/>
        </w:rPr>
      </w:pPr>
    </w:p>
    <w:p w14:paraId="632C6941" w14:textId="77777777" w:rsidR="00E970ED" w:rsidRDefault="00487061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456F431D">
          <v:rect id="_x0000_s1054" style="position:absolute;margin-left:267.35pt;margin-top:22.55pt;width:210.65pt;height:16.65pt;z-index:251681792" stroked="f">
            <v:textbox style="mso-next-textbox:#_x0000_s1054">
              <w:txbxContent>
                <w:p w14:paraId="07AD0775" w14:textId="77777777" w:rsidR="00E970ED" w:rsidRPr="00E970ED" w:rsidRDefault="00E970ED" w:rsidP="00E970ED">
                  <w:r w:rsidRPr="00E970ED">
                    <w:rPr>
                      <w:rFonts w:cs="Arial"/>
                      <w:b/>
                      <w:sz w:val="16"/>
                      <w:szCs w:val="16"/>
                    </w:rPr>
                    <w:t>Fonte G – Ruínas de Béthune, em França, 1918</w:t>
                  </w:r>
                </w:p>
              </w:txbxContent>
            </v:textbox>
          </v:rect>
        </w:pict>
      </w:r>
    </w:p>
    <w:p w14:paraId="39CEDFBF" w14:textId="77777777" w:rsidR="00E970ED" w:rsidRDefault="00E970ED" w:rsidP="00E970ED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506A62E6" w14:textId="77777777" w:rsidR="00E970ED" w:rsidRDefault="00E970ED" w:rsidP="00E970ED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1C60FA75" w14:textId="77777777" w:rsidR="00E970ED" w:rsidRDefault="00E970ED" w:rsidP="00E970ED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4F75195E" w14:textId="77777777" w:rsidR="00E970ED" w:rsidRPr="00E970ED" w:rsidRDefault="00E970ED" w:rsidP="00E970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E970ED">
        <w:rPr>
          <w:rFonts w:cs="Arial"/>
          <w:b/>
          <w:bCs/>
          <w:color w:val="004366"/>
          <w:sz w:val="22"/>
          <w:szCs w:val="22"/>
        </w:rPr>
        <w:t xml:space="preserve">2.1. </w:t>
      </w:r>
      <w:r w:rsidRPr="00E970ED">
        <w:rPr>
          <w:rFonts w:cs="Arial"/>
          <w:color w:val="000000"/>
          <w:sz w:val="21"/>
          <w:szCs w:val="21"/>
        </w:rPr>
        <w:t>Refere a razão que conduziu à 1.ª Guerra Mundial visível na fonte D.</w:t>
      </w:r>
    </w:p>
    <w:p w14:paraId="5A5B1432" w14:textId="77777777" w:rsidR="00E970ED" w:rsidRPr="00E970ED" w:rsidRDefault="00E970ED" w:rsidP="00E970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E970ED">
        <w:rPr>
          <w:rFonts w:cs="Arial"/>
          <w:b/>
          <w:bCs/>
          <w:color w:val="004366"/>
          <w:sz w:val="22"/>
          <w:szCs w:val="22"/>
        </w:rPr>
        <w:t xml:space="preserve">2.2. </w:t>
      </w:r>
      <w:r w:rsidRPr="00E970ED">
        <w:rPr>
          <w:rFonts w:cs="Arial"/>
          <w:color w:val="000000"/>
          <w:sz w:val="21"/>
          <w:szCs w:val="21"/>
        </w:rPr>
        <w:t>Que outra fonte apresenta situações que possam ser consideradas como causa para a 1.ª Guerra?</w:t>
      </w:r>
    </w:p>
    <w:p w14:paraId="7322B553" w14:textId="77777777" w:rsidR="00E970ED" w:rsidRPr="00E970ED" w:rsidRDefault="00E970ED" w:rsidP="00E970ED">
      <w:pPr>
        <w:autoSpaceDE w:val="0"/>
        <w:autoSpaceDN w:val="0"/>
        <w:adjustRightInd w:val="0"/>
        <w:spacing w:after="0"/>
        <w:ind w:left="425"/>
        <w:rPr>
          <w:rFonts w:cs="Arial"/>
          <w:color w:val="000000"/>
          <w:sz w:val="21"/>
          <w:szCs w:val="21"/>
        </w:rPr>
      </w:pPr>
      <w:r w:rsidRPr="00E970ED">
        <w:rPr>
          <w:rFonts w:cs="Arial"/>
          <w:color w:val="000000"/>
          <w:sz w:val="21"/>
          <w:szCs w:val="21"/>
        </w:rPr>
        <w:t>Justifica a tua resposta.</w:t>
      </w:r>
    </w:p>
    <w:p w14:paraId="15933853" w14:textId="77777777" w:rsidR="00E970ED" w:rsidRPr="00E970ED" w:rsidRDefault="00E970ED" w:rsidP="00E970E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E970ED">
        <w:rPr>
          <w:rFonts w:cs="Arial"/>
          <w:b/>
          <w:bCs/>
          <w:color w:val="004366"/>
          <w:sz w:val="22"/>
          <w:szCs w:val="22"/>
        </w:rPr>
        <w:t xml:space="preserve">2.3. </w:t>
      </w:r>
      <w:r w:rsidRPr="00E970ED">
        <w:rPr>
          <w:rFonts w:cs="Arial"/>
          <w:color w:val="000000"/>
          <w:sz w:val="21"/>
          <w:szCs w:val="21"/>
        </w:rPr>
        <w:t>Explica a importância do acontecimento referido na fonte F para o desfecho do conflito.</w:t>
      </w:r>
    </w:p>
    <w:p w14:paraId="4BE495B4" w14:textId="77777777" w:rsidR="00E970ED" w:rsidRDefault="00E970ED" w:rsidP="00E970ED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  <w:r w:rsidRPr="00E970ED">
        <w:rPr>
          <w:rFonts w:cs="Arial"/>
          <w:b/>
          <w:bCs/>
          <w:color w:val="004366"/>
          <w:sz w:val="22"/>
          <w:szCs w:val="22"/>
        </w:rPr>
        <w:t xml:space="preserve">2.4. </w:t>
      </w:r>
      <w:r w:rsidRPr="00E970ED">
        <w:rPr>
          <w:rFonts w:cs="Arial"/>
          <w:color w:val="000000"/>
          <w:sz w:val="21"/>
          <w:szCs w:val="21"/>
        </w:rPr>
        <w:t>Apresenta, partindo da análise da fonte G e dos teus conhecimentos, as principais consequências da</w:t>
      </w:r>
      <w:r>
        <w:rPr>
          <w:rFonts w:cs="Arial"/>
          <w:color w:val="000000"/>
          <w:sz w:val="21"/>
          <w:szCs w:val="21"/>
        </w:rPr>
        <w:t xml:space="preserve"> </w:t>
      </w:r>
      <w:r w:rsidRPr="00E970ED">
        <w:rPr>
          <w:rFonts w:cs="Arial"/>
          <w:color w:val="000000"/>
          <w:sz w:val="21"/>
          <w:szCs w:val="21"/>
        </w:rPr>
        <w:t>1.ª Guerra Mundial.</w:t>
      </w:r>
    </w:p>
    <w:p w14:paraId="1B4FF428" w14:textId="77777777" w:rsidR="00E970ED" w:rsidRDefault="00E970ED">
      <w:pPr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page"/>
      </w:r>
    </w:p>
    <w:p w14:paraId="65566D3C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1843" w:hanging="1843"/>
        <w:rPr>
          <w:rFonts w:cs="Arial"/>
          <w:color w:val="CD9A00"/>
          <w:sz w:val="34"/>
          <w:szCs w:val="34"/>
        </w:rPr>
      </w:pPr>
      <w:r w:rsidRPr="0011711E">
        <w:rPr>
          <w:rFonts w:cs="Arial"/>
          <w:b/>
          <w:bCs/>
          <w:color w:val="CD9A00"/>
          <w:sz w:val="34"/>
          <w:szCs w:val="34"/>
        </w:rPr>
        <w:t xml:space="preserve">GRUPO II </w:t>
      </w:r>
      <w:r w:rsidRPr="0011711E">
        <w:rPr>
          <w:rFonts w:cs="Arial"/>
          <w:color w:val="CD9A00"/>
          <w:sz w:val="34"/>
          <w:szCs w:val="34"/>
        </w:rPr>
        <w:t>– 9.2. As transformações políticas, económicas, sociais e</w:t>
      </w:r>
      <w:r>
        <w:rPr>
          <w:rFonts w:cs="Arial"/>
          <w:color w:val="CD9A00"/>
          <w:sz w:val="34"/>
          <w:szCs w:val="34"/>
        </w:rPr>
        <w:t xml:space="preserve"> </w:t>
      </w:r>
      <w:r w:rsidRPr="0011711E">
        <w:rPr>
          <w:rFonts w:cs="Arial"/>
          <w:color w:val="CD9A00"/>
          <w:sz w:val="34"/>
          <w:szCs w:val="34"/>
        </w:rPr>
        <w:t>culturais do após-guerra</w:t>
      </w:r>
    </w:p>
    <w:p w14:paraId="3FA9744F" w14:textId="77777777" w:rsidR="0011711E" w:rsidRPr="0011711E" w:rsidRDefault="0011711E" w:rsidP="0011711E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b/>
          <w:bCs/>
          <w:color w:val="004366"/>
          <w:sz w:val="22"/>
          <w:szCs w:val="22"/>
        </w:rPr>
        <w:t xml:space="preserve">3. </w:t>
      </w:r>
      <w:r w:rsidRPr="0011711E">
        <w:rPr>
          <w:rFonts w:cs="Arial"/>
          <w:color w:val="000000"/>
          <w:sz w:val="21"/>
          <w:szCs w:val="21"/>
        </w:rPr>
        <w:t>Lê a fonte.</w:t>
      </w:r>
    </w:p>
    <w:p w14:paraId="62DFC88C" w14:textId="77777777" w:rsidR="0011711E" w:rsidRPr="0011711E" w:rsidRDefault="0011711E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b/>
          <w:color w:val="000000"/>
          <w:sz w:val="17"/>
          <w:szCs w:val="17"/>
        </w:rPr>
      </w:pPr>
      <w:r w:rsidRPr="0011711E">
        <w:rPr>
          <w:rFonts w:cs="Arial"/>
          <w:b/>
          <w:color w:val="000000"/>
          <w:sz w:val="17"/>
          <w:szCs w:val="17"/>
        </w:rPr>
        <w:t>Fonte H</w:t>
      </w:r>
    </w:p>
    <w:p w14:paraId="3E1D987F" w14:textId="77777777" w:rsidR="0011711E" w:rsidRDefault="00487061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586E8F4B">
          <v:rect id="_x0000_s1055" style="position:absolute;left:0;text-align:left;margin-left:-.55pt;margin-top:1.6pt;width:517.75pt;height:102.65pt;z-index:251682816" fillcolor="#ffc" stroked="f">
            <v:textbox>
              <w:txbxContent>
                <w:p w14:paraId="72931EB8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sz w:val="18"/>
                      <w:szCs w:val="18"/>
                    </w:rPr>
                    <w:t>O Mali, a Síria, o Chade, o Paquistão e, por fim, o Iémen são aqueles onde as diferenças entre homens e mulheres são,</w:t>
                  </w:r>
                </w:p>
                <w:p w14:paraId="110E777A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sz w:val="18"/>
                      <w:szCs w:val="18"/>
                    </w:rPr>
                    <w:t>globalmente, mais acentuadas. Este ano foram avaliados 142 países − a metodologia tem-se mantido semelhante desde</w:t>
                  </w:r>
                </w:p>
                <w:p w14:paraId="730A35E5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sz w:val="18"/>
                      <w:szCs w:val="18"/>
                    </w:rPr>
                    <w:t xml:space="preserve">que este </w:t>
                  </w:r>
                  <w:r w:rsidRPr="0011711E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ranking </w:t>
                  </w:r>
                  <w:r w:rsidRPr="0011711E">
                    <w:rPr>
                      <w:rFonts w:cs="Arial"/>
                      <w:sz w:val="18"/>
                      <w:szCs w:val="18"/>
                    </w:rPr>
                    <w:t>é feito [2006], com 111 a entrar no estudo desde o início, entre os quais Portugal. Foram tidos em conta</w:t>
                  </w:r>
                </w:p>
                <w:p w14:paraId="69C28355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sz w:val="18"/>
                      <w:szCs w:val="18"/>
                    </w:rPr>
                    <w:t>indicadores como o peso de homens e mulheres no mercado de trabalho, em cargos de chefia, nos parlamentos e nos</w:t>
                  </w:r>
                </w:p>
                <w:p w14:paraId="66353881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sz w:val="18"/>
                      <w:szCs w:val="18"/>
                    </w:rPr>
                    <w:t>ministérios, as disparidades de rendimentos, de níveis de escolaridade e de esperança de vida, por exemplo. Os países</w:t>
                  </w:r>
                </w:p>
                <w:p w14:paraId="22C5AAE5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sz w:val="18"/>
                      <w:szCs w:val="18"/>
                    </w:rPr>
                    <w:t>são ordenados primeiro em função das diferenças entre homens e mulheres nos diferentes indicadores e, depois, num</w:t>
                  </w:r>
                </w:p>
                <w:p w14:paraId="1439DA9A" w14:textId="77777777" w:rsidR="0011711E" w:rsidRPr="0011711E" w:rsidRDefault="0011711E" w:rsidP="0011711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11711E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ranking </w:t>
                  </w:r>
                  <w:r w:rsidRPr="0011711E">
                    <w:rPr>
                      <w:rFonts w:cs="Arial"/>
                      <w:sz w:val="18"/>
                      <w:szCs w:val="18"/>
                    </w:rPr>
                    <w:t>global que pondera tudo − o tal em que Portugal ocupa este ano o 39.º lugar.</w:t>
                  </w:r>
                </w:p>
                <w:p w14:paraId="0A83FD65" w14:textId="77777777" w:rsidR="0011711E" w:rsidRPr="0011711E" w:rsidRDefault="0011711E" w:rsidP="0011711E">
                  <w:pPr>
                    <w:jc w:val="right"/>
                    <w:rPr>
                      <w:rFonts w:cs="Arial"/>
                    </w:rPr>
                  </w:pPr>
                  <w:r w:rsidRPr="0011711E">
                    <w:rPr>
                      <w:rFonts w:cs="Arial"/>
                      <w:sz w:val="14"/>
                      <w:szCs w:val="14"/>
                    </w:rPr>
                    <w:t xml:space="preserve">Jornal </w:t>
                  </w:r>
                  <w:r w:rsidRPr="0011711E"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Público </w:t>
                  </w:r>
                  <w:r w:rsidRPr="0011711E">
                    <w:rPr>
                      <w:rFonts w:cs="Arial"/>
                      <w:sz w:val="14"/>
                      <w:szCs w:val="14"/>
                    </w:rPr>
                    <w:t>online, 29/10/2014</w:t>
                  </w:r>
                </w:p>
              </w:txbxContent>
            </v:textbox>
          </v:rect>
        </w:pict>
      </w:r>
    </w:p>
    <w:p w14:paraId="107020B9" w14:textId="77777777" w:rsidR="0011711E" w:rsidRDefault="0011711E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</w:p>
    <w:p w14:paraId="38A411DB" w14:textId="77777777" w:rsidR="0011711E" w:rsidRDefault="0011711E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</w:p>
    <w:p w14:paraId="094DBE54" w14:textId="77777777" w:rsidR="0011711E" w:rsidRDefault="0011711E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</w:p>
    <w:p w14:paraId="068B3FBC" w14:textId="77777777" w:rsidR="0011711E" w:rsidRDefault="0011711E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</w:p>
    <w:p w14:paraId="2718D103" w14:textId="77777777" w:rsidR="0011711E" w:rsidRDefault="0011711E" w:rsidP="0011711E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</w:p>
    <w:p w14:paraId="7E171F07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709" w:hanging="425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11711E">
        <w:rPr>
          <w:rFonts w:cs="Arial"/>
          <w:color w:val="000000"/>
          <w:sz w:val="21"/>
          <w:szCs w:val="21"/>
        </w:rPr>
        <w:t>Qual o assunto tratado na fonte?</w:t>
      </w:r>
    </w:p>
    <w:p w14:paraId="580E3F8F" w14:textId="77777777" w:rsidR="0011711E" w:rsidRPr="0011711E" w:rsidRDefault="0011711E" w:rsidP="0011711E">
      <w:pPr>
        <w:autoSpaceDE w:val="0"/>
        <w:autoSpaceDN w:val="0"/>
        <w:adjustRightInd w:val="0"/>
        <w:spacing w:before="120" w:after="0"/>
        <w:ind w:left="709" w:hanging="425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b/>
          <w:bCs/>
          <w:color w:val="004366"/>
          <w:sz w:val="22"/>
          <w:szCs w:val="22"/>
        </w:rPr>
        <w:t xml:space="preserve">3.2. </w:t>
      </w:r>
      <w:r w:rsidRPr="0011711E">
        <w:rPr>
          <w:rFonts w:cs="Arial"/>
          <w:color w:val="000000"/>
          <w:sz w:val="21"/>
          <w:szCs w:val="21"/>
        </w:rPr>
        <w:t>Que semelhanças encontras entre o conteúdo desta fonte e a luta pela emancipação feminina, nas</w:t>
      </w:r>
      <w:r>
        <w:rPr>
          <w:rFonts w:cs="Arial"/>
          <w:color w:val="000000"/>
          <w:sz w:val="21"/>
          <w:szCs w:val="21"/>
        </w:rPr>
        <w:t xml:space="preserve"> </w:t>
      </w:r>
      <w:r w:rsidRPr="0011711E">
        <w:rPr>
          <w:rFonts w:cs="Arial"/>
          <w:color w:val="000000"/>
          <w:sz w:val="21"/>
          <w:szCs w:val="21"/>
        </w:rPr>
        <w:t>primeiras décadas do século XX?</w:t>
      </w:r>
    </w:p>
    <w:p w14:paraId="35A94012" w14:textId="77777777" w:rsidR="0011711E" w:rsidRPr="0011711E" w:rsidRDefault="0011711E" w:rsidP="0011711E">
      <w:pPr>
        <w:autoSpaceDE w:val="0"/>
        <w:autoSpaceDN w:val="0"/>
        <w:adjustRightInd w:val="0"/>
        <w:spacing w:before="240" w:after="0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11711E">
        <w:rPr>
          <w:rFonts w:cs="Arial"/>
          <w:color w:val="000000"/>
          <w:sz w:val="21"/>
          <w:szCs w:val="21"/>
        </w:rPr>
        <w:t>Insere, na cronologia, os seguintes acontecimentos:</w:t>
      </w:r>
    </w:p>
    <w:p w14:paraId="390BB454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Morte de Lenine</w:t>
      </w:r>
    </w:p>
    <w:p w14:paraId="1111C06D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NEP (Nova Política Económica)</w:t>
      </w:r>
    </w:p>
    <w:p w14:paraId="710FDB21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Revolução de Fevereiro (Rússia)</w:t>
      </w:r>
    </w:p>
    <w:p w14:paraId="08567069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Tratado de Brest-Litovsk (Rússia retira-se da Grande Guerra)</w:t>
      </w:r>
    </w:p>
    <w:p w14:paraId="77232383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Comunismo de guerra na Rússia</w:t>
      </w:r>
    </w:p>
    <w:p w14:paraId="1A1661B6" w14:textId="77777777" w:rsidR="0011711E" w:rsidRP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Domingo Sangrento</w:t>
      </w:r>
    </w:p>
    <w:p w14:paraId="67AF462D" w14:textId="77777777" w:rsid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11711E">
        <w:rPr>
          <w:rFonts w:cs="Arial"/>
          <w:color w:val="000000"/>
          <w:sz w:val="21"/>
          <w:szCs w:val="21"/>
        </w:rPr>
        <w:t>• Revolução de Outubro (Rússia)</w:t>
      </w:r>
    </w:p>
    <w:p w14:paraId="4A241BFE" w14:textId="77777777" w:rsid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</w:p>
    <w:tbl>
      <w:tblPr>
        <w:tblStyle w:val="Tablaconcuadrcula"/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675"/>
        <w:gridCol w:w="1948"/>
        <w:gridCol w:w="1949"/>
        <w:gridCol w:w="1949"/>
        <w:gridCol w:w="1949"/>
        <w:gridCol w:w="1949"/>
      </w:tblGrid>
      <w:tr w:rsidR="0011711E" w14:paraId="279F0FF8" w14:textId="77777777" w:rsidTr="0011711E">
        <w:tc>
          <w:tcPr>
            <w:tcW w:w="675" w:type="dxa"/>
            <w:shd w:val="clear" w:color="auto" w:fill="EEECE1" w:themeFill="background2"/>
            <w:vAlign w:val="center"/>
          </w:tcPr>
          <w:p w14:paraId="6652AB79" w14:textId="77777777" w:rsidR="0011711E" w:rsidRPr="0011711E" w:rsidRDefault="0011711E" w:rsidP="0011711E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Anos</w:t>
            </w:r>
          </w:p>
        </w:tc>
        <w:tc>
          <w:tcPr>
            <w:tcW w:w="1948" w:type="dxa"/>
            <w:shd w:val="clear" w:color="auto" w:fill="EEECE1" w:themeFill="background2"/>
            <w:vAlign w:val="center"/>
          </w:tcPr>
          <w:p w14:paraId="0C8936BF" w14:textId="77777777" w:rsidR="0011711E" w:rsidRPr="0011711E" w:rsidRDefault="0011711E" w:rsidP="0011711E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1905</w:t>
            </w:r>
          </w:p>
        </w:tc>
        <w:tc>
          <w:tcPr>
            <w:tcW w:w="1949" w:type="dxa"/>
            <w:shd w:val="clear" w:color="auto" w:fill="EEECE1" w:themeFill="background2"/>
            <w:vAlign w:val="center"/>
          </w:tcPr>
          <w:p w14:paraId="0706058C" w14:textId="77777777" w:rsidR="0011711E" w:rsidRPr="0011711E" w:rsidRDefault="0011711E" w:rsidP="0011711E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1914</w:t>
            </w:r>
          </w:p>
        </w:tc>
        <w:tc>
          <w:tcPr>
            <w:tcW w:w="1949" w:type="dxa"/>
            <w:shd w:val="clear" w:color="auto" w:fill="EEECE1" w:themeFill="background2"/>
            <w:vAlign w:val="center"/>
          </w:tcPr>
          <w:p w14:paraId="0D0F7C44" w14:textId="77777777" w:rsidR="0011711E" w:rsidRPr="0011711E" w:rsidRDefault="0011711E" w:rsidP="0011711E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1917</w:t>
            </w:r>
          </w:p>
        </w:tc>
        <w:tc>
          <w:tcPr>
            <w:tcW w:w="1949" w:type="dxa"/>
            <w:shd w:val="clear" w:color="auto" w:fill="EEECE1" w:themeFill="background2"/>
            <w:vAlign w:val="center"/>
          </w:tcPr>
          <w:p w14:paraId="261EFD38" w14:textId="77777777" w:rsidR="0011711E" w:rsidRPr="0011711E" w:rsidRDefault="0011711E" w:rsidP="0011711E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1918</w:t>
            </w:r>
          </w:p>
        </w:tc>
        <w:tc>
          <w:tcPr>
            <w:tcW w:w="1949" w:type="dxa"/>
            <w:shd w:val="clear" w:color="auto" w:fill="EEECE1" w:themeFill="background2"/>
            <w:vAlign w:val="center"/>
          </w:tcPr>
          <w:p w14:paraId="0DE50FE2" w14:textId="77777777" w:rsidR="0011711E" w:rsidRPr="0011711E" w:rsidRDefault="0011711E" w:rsidP="0011711E">
            <w:pPr>
              <w:spacing w:before="120" w:after="120"/>
              <w:jc w:val="center"/>
              <w:rPr>
                <w:rFonts w:cs="Arial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1919</w:t>
            </w:r>
          </w:p>
        </w:tc>
      </w:tr>
      <w:tr w:rsidR="0011711E" w14:paraId="0CBB59F4" w14:textId="77777777" w:rsidTr="0011711E">
        <w:trPr>
          <w:cantSplit/>
          <w:trHeight w:val="1748"/>
        </w:trPr>
        <w:tc>
          <w:tcPr>
            <w:tcW w:w="675" w:type="dxa"/>
            <w:shd w:val="clear" w:color="auto" w:fill="EEECE1" w:themeFill="background2"/>
            <w:textDirection w:val="btLr"/>
            <w:vAlign w:val="center"/>
          </w:tcPr>
          <w:p w14:paraId="1C345FC8" w14:textId="77777777" w:rsidR="0011711E" w:rsidRDefault="0011711E" w:rsidP="0011711E">
            <w:pPr>
              <w:ind w:left="113" w:right="113"/>
              <w:jc w:val="center"/>
              <w:rPr>
                <w:rFonts w:cs="Arial"/>
                <w:color w:val="000000"/>
                <w:sz w:val="21"/>
                <w:szCs w:val="21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Acontecimentos</w:t>
            </w:r>
          </w:p>
        </w:tc>
        <w:tc>
          <w:tcPr>
            <w:tcW w:w="1948" w:type="dxa"/>
          </w:tcPr>
          <w:p w14:paraId="204B4876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03279151" w14:textId="77777777" w:rsidR="0011711E" w:rsidRDefault="0011711E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1FFE779E" w14:textId="77777777" w:rsidR="0011711E" w:rsidRDefault="0011711E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003F9BCE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2348E92E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3F265E28" w14:textId="77777777" w:rsidR="0011711E" w:rsidRP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 xml:space="preserve">Exposição </w:t>
            </w:r>
            <w:r w:rsidRPr="00487061">
              <w:rPr>
                <w:rFonts w:cs="Arial"/>
                <w:i/>
                <w:sz w:val="17"/>
                <w:szCs w:val="17"/>
              </w:rPr>
              <w:t>Fauvismo</w:t>
            </w:r>
          </w:p>
          <w:p w14:paraId="3DF70198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em Paris</w:t>
            </w:r>
          </w:p>
          <w:p w14:paraId="4804EE9F" w14:textId="77777777" w:rsidR="006453E1" w:rsidRPr="0011711E" w:rsidRDefault="006453E1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1949" w:type="dxa"/>
          </w:tcPr>
          <w:p w14:paraId="004331C4" w14:textId="77777777" w:rsidR="0011711E" w:rsidRP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Início da 1.ª Guerra</w:t>
            </w:r>
          </w:p>
          <w:p w14:paraId="2CD8E42D" w14:textId="77777777" w:rsidR="0011711E" w:rsidRP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  <w:r w:rsidRPr="0011711E">
              <w:rPr>
                <w:rFonts w:cs="Arial"/>
                <w:sz w:val="17"/>
                <w:szCs w:val="17"/>
              </w:rPr>
              <w:t>Mundial</w:t>
            </w:r>
          </w:p>
        </w:tc>
        <w:tc>
          <w:tcPr>
            <w:tcW w:w="1949" w:type="dxa"/>
          </w:tcPr>
          <w:p w14:paraId="17B66021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4A928251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719E3D55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5EA3D2E6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4DDEA67C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71A5B038" w14:textId="77777777" w:rsidR="006453E1" w:rsidRPr="0011711E" w:rsidRDefault="006453E1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1949" w:type="dxa"/>
          </w:tcPr>
          <w:p w14:paraId="7C6657FD" w14:textId="77777777" w:rsidR="0011711E" w:rsidRP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Fim da 1.ª Guerra</w:t>
            </w:r>
          </w:p>
          <w:p w14:paraId="7D4A8AA7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Mundial</w:t>
            </w:r>
          </w:p>
          <w:p w14:paraId="2FB631B7" w14:textId="77777777" w:rsidR="006453E1" w:rsidRPr="0011711E" w:rsidRDefault="006453E1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7B9DF57F" w14:textId="77777777" w:rsidR="0011711E" w:rsidRP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Início da guerra civil</w:t>
            </w:r>
          </w:p>
          <w:p w14:paraId="75DFF5EE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na Rússia</w:t>
            </w:r>
          </w:p>
          <w:p w14:paraId="2BEAA1C6" w14:textId="77777777" w:rsidR="006453E1" w:rsidRDefault="006453E1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634CFB93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1B5C1DA8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__________________</w:t>
            </w:r>
          </w:p>
          <w:p w14:paraId="37EA750C" w14:textId="77777777" w:rsidR="006453E1" w:rsidRPr="0011711E" w:rsidRDefault="006453E1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1949" w:type="dxa"/>
          </w:tcPr>
          <w:p w14:paraId="38991DFC" w14:textId="77777777" w:rsid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>Tratado de Versalhes</w:t>
            </w:r>
          </w:p>
          <w:p w14:paraId="6520111B" w14:textId="77777777" w:rsidR="006453E1" w:rsidRPr="0011711E" w:rsidRDefault="006453E1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1A3D1A5E" w14:textId="77777777" w:rsidR="0011711E" w:rsidRPr="006453E1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17"/>
                <w:szCs w:val="17"/>
              </w:rPr>
            </w:pPr>
            <w:r w:rsidRPr="0011711E">
              <w:rPr>
                <w:rFonts w:cs="Arial"/>
                <w:sz w:val="17"/>
                <w:szCs w:val="17"/>
              </w:rPr>
              <w:t xml:space="preserve">Criação da </w:t>
            </w:r>
            <w:r w:rsidRPr="006453E1">
              <w:rPr>
                <w:rFonts w:cs="Arial"/>
                <w:i/>
                <w:sz w:val="17"/>
                <w:szCs w:val="17"/>
              </w:rPr>
              <w:t>Sociedade</w:t>
            </w:r>
          </w:p>
          <w:p w14:paraId="35294EA8" w14:textId="77777777" w:rsidR="0011711E" w:rsidRPr="0011711E" w:rsidRDefault="0011711E" w:rsidP="0011711E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1"/>
                <w:szCs w:val="21"/>
              </w:rPr>
            </w:pPr>
            <w:r w:rsidRPr="006453E1">
              <w:rPr>
                <w:rFonts w:cs="Arial"/>
                <w:i/>
                <w:sz w:val="17"/>
                <w:szCs w:val="17"/>
              </w:rPr>
              <w:t>das Nações</w:t>
            </w:r>
          </w:p>
        </w:tc>
      </w:tr>
    </w:tbl>
    <w:p w14:paraId="0A768DBB" w14:textId="77777777" w:rsid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</w:p>
    <w:p w14:paraId="0127F93B" w14:textId="77777777" w:rsidR="006453E1" w:rsidRDefault="006453E1" w:rsidP="006453E1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</w:p>
    <w:tbl>
      <w:tblPr>
        <w:tblStyle w:val="Tablaconcuadrcula"/>
        <w:tblW w:w="1045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675"/>
        <w:gridCol w:w="1630"/>
        <w:gridCol w:w="1630"/>
        <w:gridCol w:w="1630"/>
        <w:gridCol w:w="1630"/>
        <w:gridCol w:w="1630"/>
        <w:gridCol w:w="1630"/>
      </w:tblGrid>
      <w:tr w:rsidR="006453E1" w14:paraId="10BDBFA8" w14:textId="77777777" w:rsidTr="006453E1">
        <w:tc>
          <w:tcPr>
            <w:tcW w:w="675" w:type="dxa"/>
            <w:shd w:val="clear" w:color="auto" w:fill="EEECE1" w:themeFill="background2"/>
            <w:vAlign w:val="center"/>
          </w:tcPr>
          <w:p w14:paraId="75910C0B" w14:textId="77777777" w:rsidR="006453E1" w:rsidRPr="0011711E" w:rsidRDefault="006453E1" w:rsidP="00FB4BDD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Anos</w:t>
            </w:r>
          </w:p>
        </w:tc>
        <w:tc>
          <w:tcPr>
            <w:tcW w:w="1630" w:type="dxa"/>
            <w:shd w:val="clear" w:color="auto" w:fill="EEECE1" w:themeFill="background2"/>
          </w:tcPr>
          <w:p w14:paraId="58880A5E" w14:textId="77777777" w:rsidR="006453E1" w:rsidRPr="006453E1" w:rsidRDefault="006453E1" w:rsidP="006453E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53E1">
              <w:rPr>
                <w:rFonts w:cs="Arial"/>
                <w:b/>
                <w:bCs/>
                <w:sz w:val="18"/>
                <w:szCs w:val="18"/>
              </w:rPr>
              <w:t>1920</w:t>
            </w:r>
          </w:p>
        </w:tc>
        <w:tc>
          <w:tcPr>
            <w:tcW w:w="1630" w:type="dxa"/>
            <w:shd w:val="clear" w:color="auto" w:fill="EEECE1" w:themeFill="background2"/>
          </w:tcPr>
          <w:p w14:paraId="76028DA3" w14:textId="77777777" w:rsidR="006453E1" w:rsidRPr="006453E1" w:rsidRDefault="006453E1" w:rsidP="006453E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53E1">
              <w:rPr>
                <w:rFonts w:cs="Arial"/>
                <w:b/>
                <w:bCs/>
                <w:sz w:val="18"/>
                <w:szCs w:val="18"/>
              </w:rPr>
              <w:t>1921</w:t>
            </w:r>
          </w:p>
        </w:tc>
        <w:tc>
          <w:tcPr>
            <w:tcW w:w="1630" w:type="dxa"/>
            <w:shd w:val="clear" w:color="auto" w:fill="EEECE1" w:themeFill="background2"/>
          </w:tcPr>
          <w:p w14:paraId="5B00B015" w14:textId="77777777" w:rsidR="006453E1" w:rsidRPr="006453E1" w:rsidRDefault="006453E1" w:rsidP="006453E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53E1">
              <w:rPr>
                <w:rFonts w:cs="Arial"/>
                <w:b/>
                <w:bCs/>
                <w:sz w:val="18"/>
                <w:szCs w:val="18"/>
              </w:rPr>
              <w:t>1922</w:t>
            </w:r>
          </w:p>
        </w:tc>
        <w:tc>
          <w:tcPr>
            <w:tcW w:w="1630" w:type="dxa"/>
            <w:shd w:val="clear" w:color="auto" w:fill="EEECE1" w:themeFill="background2"/>
          </w:tcPr>
          <w:p w14:paraId="446FF7DC" w14:textId="77777777" w:rsidR="006453E1" w:rsidRPr="006453E1" w:rsidRDefault="006453E1" w:rsidP="006453E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53E1">
              <w:rPr>
                <w:rFonts w:cs="Arial"/>
                <w:b/>
                <w:bCs/>
                <w:sz w:val="18"/>
                <w:szCs w:val="18"/>
              </w:rPr>
              <w:t>1924</w:t>
            </w:r>
          </w:p>
        </w:tc>
        <w:tc>
          <w:tcPr>
            <w:tcW w:w="1630" w:type="dxa"/>
            <w:shd w:val="clear" w:color="auto" w:fill="EEECE1" w:themeFill="background2"/>
          </w:tcPr>
          <w:p w14:paraId="168491C9" w14:textId="77777777" w:rsidR="006453E1" w:rsidRPr="006453E1" w:rsidRDefault="006453E1" w:rsidP="006453E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53E1">
              <w:rPr>
                <w:rFonts w:cs="Arial"/>
                <w:b/>
                <w:bCs/>
                <w:sz w:val="18"/>
                <w:szCs w:val="18"/>
              </w:rPr>
              <w:t>1927</w:t>
            </w:r>
          </w:p>
        </w:tc>
        <w:tc>
          <w:tcPr>
            <w:tcW w:w="1630" w:type="dxa"/>
            <w:shd w:val="clear" w:color="auto" w:fill="EEECE1" w:themeFill="background2"/>
          </w:tcPr>
          <w:p w14:paraId="76D97DD8" w14:textId="77777777" w:rsidR="006453E1" w:rsidRPr="006453E1" w:rsidRDefault="006453E1" w:rsidP="006453E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53E1">
              <w:rPr>
                <w:rFonts w:cs="Arial"/>
                <w:b/>
                <w:bCs/>
                <w:sz w:val="18"/>
                <w:szCs w:val="18"/>
              </w:rPr>
              <w:t>1932</w:t>
            </w:r>
          </w:p>
        </w:tc>
      </w:tr>
      <w:tr w:rsidR="006453E1" w14:paraId="15F55AE9" w14:textId="77777777" w:rsidTr="006453E1">
        <w:trPr>
          <w:cantSplit/>
          <w:trHeight w:val="1748"/>
        </w:trPr>
        <w:tc>
          <w:tcPr>
            <w:tcW w:w="675" w:type="dxa"/>
            <w:shd w:val="clear" w:color="auto" w:fill="EEECE1" w:themeFill="background2"/>
            <w:textDirection w:val="btLr"/>
            <w:vAlign w:val="center"/>
          </w:tcPr>
          <w:p w14:paraId="5A6E50FE" w14:textId="77777777" w:rsidR="006453E1" w:rsidRDefault="006453E1" w:rsidP="00FB4BDD">
            <w:pPr>
              <w:ind w:left="113" w:right="113"/>
              <w:jc w:val="center"/>
              <w:rPr>
                <w:rFonts w:cs="Arial"/>
                <w:color w:val="000000"/>
                <w:sz w:val="21"/>
                <w:szCs w:val="21"/>
              </w:rPr>
            </w:pPr>
            <w:r w:rsidRPr="0011711E">
              <w:rPr>
                <w:rFonts w:cs="Arial"/>
                <w:b/>
                <w:bCs/>
                <w:sz w:val="18"/>
                <w:szCs w:val="18"/>
              </w:rPr>
              <w:t>Acontecimentos</w:t>
            </w:r>
          </w:p>
        </w:tc>
        <w:tc>
          <w:tcPr>
            <w:tcW w:w="1630" w:type="dxa"/>
          </w:tcPr>
          <w:p w14:paraId="55260C9E" w14:textId="77777777" w:rsid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2FBEFC44" w14:textId="77777777" w:rsid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4CE081A3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5BDA2840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5B46F784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</w:tc>
        <w:tc>
          <w:tcPr>
            <w:tcW w:w="1630" w:type="dxa"/>
          </w:tcPr>
          <w:p w14:paraId="4C925BBE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Vitória dos</w:t>
            </w:r>
          </w:p>
          <w:p w14:paraId="25D66B3B" w14:textId="77777777" w:rsid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bolcheviques na</w:t>
            </w:r>
            <w:r>
              <w:rPr>
                <w:rFonts w:cs="Arial"/>
                <w:sz w:val="17"/>
                <w:szCs w:val="17"/>
              </w:rPr>
              <w:t xml:space="preserve"> </w:t>
            </w:r>
            <w:r w:rsidRPr="006453E1">
              <w:rPr>
                <w:rFonts w:cs="Arial"/>
                <w:sz w:val="17"/>
                <w:szCs w:val="17"/>
              </w:rPr>
              <w:t>guerra civil</w:t>
            </w:r>
          </w:p>
          <w:p w14:paraId="2DDC7CCB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7EAC40B9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313BF643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64634852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</w:tc>
        <w:tc>
          <w:tcPr>
            <w:tcW w:w="1630" w:type="dxa"/>
          </w:tcPr>
          <w:p w14:paraId="4FDA65C7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Criação da URSS</w:t>
            </w:r>
          </w:p>
        </w:tc>
        <w:tc>
          <w:tcPr>
            <w:tcW w:w="1630" w:type="dxa"/>
          </w:tcPr>
          <w:p w14:paraId="087F6407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1A2D2721" w14:textId="77777777" w:rsidR="006453E1" w:rsidRDefault="006453E1" w:rsidP="006453E1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____________</w:t>
            </w:r>
          </w:p>
          <w:p w14:paraId="5142D482" w14:textId="77777777" w:rsid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Subida ao poder</w:t>
            </w:r>
            <w:r>
              <w:rPr>
                <w:rFonts w:cs="Arial"/>
                <w:sz w:val="17"/>
                <w:szCs w:val="17"/>
              </w:rPr>
              <w:t xml:space="preserve"> </w:t>
            </w:r>
            <w:r w:rsidRPr="006453E1">
              <w:rPr>
                <w:rFonts w:cs="Arial"/>
                <w:sz w:val="17"/>
                <w:szCs w:val="17"/>
              </w:rPr>
              <w:t>de Estaline</w:t>
            </w:r>
          </w:p>
          <w:p w14:paraId="0BDF6FEC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  <w:p w14:paraId="15D56B68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17"/>
                <w:szCs w:val="17"/>
              </w:rPr>
            </w:pPr>
            <w:r w:rsidRPr="006453E1">
              <w:rPr>
                <w:rFonts w:cs="Arial"/>
                <w:i/>
                <w:sz w:val="17"/>
                <w:szCs w:val="17"/>
              </w:rPr>
              <w:t>Manifesto do</w:t>
            </w:r>
          </w:p>
          <w:p w14:paraId="378630E0" w14:textId="77777777" w:rsid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17"/>
                <w:szCs w:val="17"/>
              </w:rPr>
            </w:pPr>
            <w:r w:rsidRPr="006453E1">
              <w:rPr>
                <w:rFonts w:cs="Arial"/>
                <w:i/>
                <w:sz w:val="17"/>
                <w:szCs w:val="17"/>
              </w:rPr>
              <w:t>Surrealismo</w:t>
            </w:r>
          </w:p>
          <w:p w14:paraId="320DCEC7" w14:textId="77777777" w:rsidR="006453E1" w:rsidRPr="006453E1" w:rsidRDefault="006453E1" w:rsidP="006453E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</w:p>
        </w:tc>
        <w:tc>
          <w:tcPr>
            <w:tcW w:w="1630" w:type="dxa"/>
          </w:tcPr>
          <w:p w14:paraId="56C2741F" w14:textId="77777777" w:rsidR="006453E1" w:rsidRPr="006453E1" w:rsidRDefault="006453E1" w:rsidP="00FB4BDD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Primeiro filme</w:t>
            </w:r>
          </w:p>
          <w:p w14:paraId="7CED9C34" w14:textId="77777777" w:rsidR="006453E1" w:rsidRPr="006453E1" w:rsidRDefault="006453E1" w:rsidP="00487061">
            <w:pPr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sonoro</w:t>
            </w:r>
          </w:p>
        </w:tc>
        <w:tc>
          <w:tcPr>
            <w:tcW w:w="1630" w:type="dxa"/>
          </w:tcPr>
          <w:p w14:paraId="428E7A04" w14:textId="77777777" w:rsidR="006453E1" w:rsidRPr="006453E1" w:rsidRDefault="006453E1" w:rsidP="00FB4BDD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Primeira emissão</w:t>
            </w:r>
          </w:p>
          <w:p w14:paraId="6EEBC07F" w14:textId="77777777" w:rsidR="006453E1" w:rsidRPr="006453E1" w:rsidRDefault="006453E1" w:rsidP="00FB4BDD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pública de</w:t>
            </w:r>
            <w:bookmarkStart w:id="0" w:name="_GoBack"/>
            <w:bookmarkEnd w:id="0"/>
          </w:p>
          <w:p w14:paraId="6544A831" w14:textId="77777777" w:rsidR="006453E1" w:rsidRPr="0011711E" w:rsidRDefault="006453E1" w:rsidP="00FB4BDD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17"/>
                <w:szCs w:val="17"/>
              </w:rPr>
            </w:pPr>
            <w:r w:rsidRPr="006453E1">
              <w:rPr>
                <w:rFonts w:cs="Arial"/>
                <w:sz w:val="17"/>
                <w:szCs w:val="17"/>
              </w:rPr>
              <w:t>televisão (França)</w:t>
            </w:r>
          </w:p>
        </w:tc>
      </w:tr>
    </w:tbl>
    <w:p w14:paraId="00AD60D5" w14:textId="77777777" w:rsidR="0011711E" w:rsidRDefault="0011711E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</w:p>
    <w:p w14:paraId="16688A19" w14:textId="77777777" w:rsidR="006453E1" w:rsidRPr="006453E1" w:rsidRDefault="006453E1" w:rsidP="0011711E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val="es-ES" w:eastAsia="es-ES"/>
        </w:rPr>
        <w:drawing>
          <wp:anchor distT="0" distB="0" distL="114300" distR="114300" simplePos="0" relativeHeight="251684864" behindDoc="0" locked="0" layoutInCell="1" allowOverlap="1" wp14:anchorId="247C0F55" wp14:editId="4664F69C">
            <wp:simplePos x="0" y="0"/>
            <wp:positionH relativeFrom="column">
              <wp:posOffset>5052060</wp:posOffset>
            </wp:positionH>
            <wp:positionV relativeFrom="paragraph">
              <wp:posOffset>282575</wp:posOffset>
            </wp:positionV>
            <wp:extent cx="1441450" cy="559435"/>
            <wp:effectExtent l="19050" t="0" r="6350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53E1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6453E1">
        <w:rPr>
          <w:rFonts w:cs="Arial"/>
          <w:color w:val="000000"/>
          <w:sz w:val="21"/>
          <w:szCs w:val="21"/>
        </w:rPr>
        <w:t>Apresenta sucintamente a importância de um desses acontecimentos.</w:t>
      </w:r>
      <w:r>
        <w:rPr>
          <w:rFonts w:cs="Arial"/>
          <w:color w:val="000000"/>
          <w:sz w:val="21"/>
          <w:szCs w:val="21"/>
        </w:rPr>
        <w:t xml:space="preserve"> </w:t>
      </w:r>
    </w:p>
    <w:sectPr w:rsidR="006453E1" w:rsidRPr="006453E1" w:rsidSect="008D00A7"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13C6F34" w14:textId="77777777" w:rsidR="00774B77" w:rsidRDefault="00774B77" w:rsidP="00D811C8">
      <w:pPr>
        <w:spacing w:after="0" w:line="240" w:lineRule="auto"/>
      </w:pPr>
      <w:r>
        <w:separator/>
      </w:r>
    </w:p>
  </w:endnote>
  <w:endnote w:type="continuationSeparator" w:id="0">
    <w:p w14:paraId="5D9F620D" w14:textId="77777777" w:rsidR="00774B77" w:rsidRDefault="00774B77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AGRoundedStd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2A55AA7F" w14:textId="77777777" w:rsidR="00774B77" w:rsidRDefault="00774B77" w:rsidP="00D811C8">
      <w:pPr>
        <w:spacing w:after="0" w:line="240" w:lineRule="auto"/>
      </w:pPr>
      <w:r>
        <w:separator/>
      </w:r>
    </w:p>
  </w:footnote>
  <w:footnote w:type="continuationSeparator" w:id="0">
    <w:p w14:paraId="7F62487C" w14:textId="77777777" w:rsidR="00774B77" w:rsidRDefault="00774B77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2289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71A8"/>
    <w:rsid w:val="00023A91"/>
    <w:rsid w:val="000F127B"/>
    <w:rsid w:val="0011711E"/>
    <w:rsid w:val="00193006"/>
    <w:rsid w:val="001E563A"/>
    <w:rsid w:val="001F4A68"/>
    <w:rsid w:val="002161DE"/>
    <w:rsid w:val="0029555E"/>
    <w:rsid w:val="002C24B6"/>
    <w:rsid w:val="00325795"/>
    <w:rsid w:val="003722B6"/>
    <w:rsid w:val="003929EC"/>
    <w:rsid w:val="00396953"/>
    <w:rsid w:val="003E1B03"/>
    <w:rsid w:val="004371BE"/>
    <w:rsid w:val="00480FEB"/>
    <w:rsid w:val="00487061"/>
    <w:rsid w:val="004C4378"/>
    <w:rsid w:val="00516037"/>
    <w:rsid w:val="00592C92"/>
    <w:rsid w:val="005F2F45"/>
    <w:rsid w:val="006301E0"/>
    <w:rsid w:val="006453E1"/>
    <w:rsid w:val="00656349"/>
    <w:rsid w:val="00692464"/>
    <w:rsid w:val="00692B2B"/>
    <w:rsid w:val="006C2E90"/>
    <w:rsid w:val="006F7DC3"/>
    <w:rsid w:val="00706292"/>
    <w:rsid w:val="00765A70"/>
    <w:rsid w:val="00774B77"/>
    <w:rsid w:val="007C1F31"/>
    <w:rsid w:val="007D28D3"/>
    <w:rsid w:val="00855C11"/>
    <w:rsid w:val="008D00A7"/>
    <w:rsid w:val="009510BC"/>
    <w:rsid w:val="009905B4"/>
    <w:rsid w:val="009F1B16"/>
    <w:rsid w:val="00A60CFB"/>
    <w:rsid w:val="00A6571F"/>
    <w:rsid w:val="00AC4D1E"/>
    <w:rsid w:val="00B13A39"/>
    <w:rsid w:val="00B13AC3"/>
    <w:rsid w:val="00B13DD1"/>
    <w:rsid w:val="00B165B4"/>
    <w:rsid w:val="00B219EA"/>
    <w:rsid w:val="00B81C16"/>
    <w:rsid w:val="00B861A2"/>
    <w:rsid w:val="00BA3545"/>
    <w:rsid w:val="00C77ACB"/>
    <w:rsid w:val="00CA5CB6"/>
    <w:rsid w:val="00D14502"/>
    <w:rsid w:val="00D20E3D"/>
    <w:rsid w:val="00D256F5"/>
    <w:rsid w:val="00D45168"/>
    <w:rsid w:val="00D811C8"/>
    <w:rsid w:val="00D83227"/>
    <w:rsid w:val="00DB6556"/>
    <w:rsid w:val="00E42C1C"/>
    <w:rsid w:val="00E85871"/>
    <w:rsid w:val="00E918AB"/>
    <w:rsid w:val="00E970ED"/>
    <w:rsid w:val="00EC3E24"/>
    <w:rsid w:val="00F5270C"/>
    <w:rsid w:val="00F57A68"/>
    <w:rsid w:val="00F74984"/>
    <w:rsid w:val="00F832F2"/>
    <w:rsid w:val="00FB5727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3239F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465</Words>
  <Characters>2560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7</cp:revision>
  <dcterms:created xsi:type="dcterms:W3CDTF">2015-03-02T00:11:00Z</dcterms:created>
  <dcterms:modified xsi:type="dcterms:W3CDTF">2015-03-29T13:35:00Z</dcterms:modified>
</cp:coreProperties>
</file>