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9EA" w:rsidRPr="00016169" w:rsidRDefault="003259B9" w:rsidP="00B219EA">
      <w:pPr>
        <w:autoSpaceDE w:val="0"/>
        <w:autoSpaceDN w:val="0"/>
        <w:adjustRightInd w:val="0"/>
        <w:spacing w:after="0" w:line="240" w:lineRule="auto"/>
        <w:rPr>
          <w:rFonts w:cs="Arial"/>
          <w:color w:val="E6E6C3"/>
          <w:sz w:val="72"/>
          <w:szCs w:val="72"/>
        </w:rPr>
      </w:pPr>
      <w:r>
        <w:rPr>
          <w:rFonts w:cs="Arial"/>
          <w:noProof/>
          <w:color w:val="E6E6C3"/>
          <w:sz w:val="72"/>
          <w:szCs w:val="72"/>
          <w:lang w:eastAsia="pt-PT"/>
        </w:rPr>
        <w:pict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Ficha 4A</w:t>
                  </w:r>
                </w:p>
              </w:txbxContent>
            </v:textbox>
          </v:roundrect>
        </w:pict>
      </w:r>
      <w:r w:rsidR="00016169" w:rsidRPr="00016169">
        <w:rPr>
          <w:rFonts w:cs="Arial"/>
          <w:color w:val="E6E6C3"/>
          <w:sz w:val="72"/>
          <w:szCs w:val="72"/>
        </w:rPr>
        <w:t>Correção</w:t>
      </w:r>
    </w:p>
    <w:p w:rsidR="003722B6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4366"/>
          <w:sz w:val="32"/>
          <w:szCs w:val="32"/>
        </w:rPr>
      </w:pPr>
      <w:r w:rsidRPr="00016169">
        <w:rPr>
          <w:rFonts w:cs="Arial"/>
          <w:b/>
          <w:bCs/>
          <w:color w:val="004366"/>
          <w:sz w:val="32"/>
          <w:szCs w:val="32"/>
        </w:rPr>
        <w:t>Critérios específicos de correção</w:t>
      </w:r>
      <w:r w:rsidR="00B219EA" w:rsidRPr="00016169">
        <w:rPr>
          <w:rFonts w:cs="Arial"/>
          <w:color w:val="004366"/>
          <w:sz w:val="32"/>
          <w:szCs w:val="32"/>
        </w:rPr>
        <w:t>| 10.2. A 2.ª Guerra Mundial: violência e reconstrução</w:t>
      </w:r>
      <w:r>
        <w:rPr>
          <w:rFonts w:cs="Arial"/>
          <w:color w:val="004366"/>
          <w:sz w:val="32"/>
          <w:szCs w:val="32"/>
        </w:rPr>
        <w:t xml:space="preserve"> | </w:t>
      </w:r>
      <w:r w:rsidR="00B219EA" w:rsidRPr="00016169">
        <w:rPr>
          <w:rFonts w:cs="Arial"/>
          <w:color w:val="004366"/>
          <w:sz w:val="32"/>
          <w:szCs w:val="32"/>
        </w:rPr>
        <w:t>11.1. A Guerra Fria</w:t>
      </w:r>
    </w:p>
    <w:p w:rsidR="00B219EA" w:rsidRPr="00B219EA" w:rsidRDefault="00B219EA" w:rsidP="00B219EA">
      <w:pPr>
        <w:rPr>
          <w:rFonts w:cs="Arial"/>
        </w:rPr>
      </w:pPr>
    </w:p>
    <w:p w:rsidR="00016169" w:rsidRDefault="00016169" w:rsidP="00016169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CD9A00"/>
          <w:sz w:val="28"/>
          <w:szCs w:val="28"/>
        </w:rPr>
        <w:sectPr w:rsidR="00016169" w:rsidSect="00B219EA">
          <w:footerReference w:type="default" r:id="rId6"/>
          <w:type w:val="continuous"/>
          <w:pgSz w:w="11906" w:h="16838"/>
          <w:pgMar w:top="851" w:right="284" w:bottom="1417" w:left="993" w:header="708" w:footer="708" w:gutter="0"/>
          <w:pgNumType w:start="105"/>
          <w:cols w:space="708"/>
          <w:docGrid w:linePitch="360"/>
        </w:sectPr>
      </w:pPr>
    </w:p>
    <w:p w:rsidR="00016169" w:rsidRPr="00016169" w:rsidRDefault="00016169" w:rsidP="00016169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CD9A00"/>
          <w:sz w:val="28"/>
          <w:szCs w:val="28"/>
        </w:rPr>
      </w:pPr>
      <w:r w:rsidRPr="00016169">
        <w:rPr>
          <w:rFonts w:cs="Arial"/>
          <w:b/>
          <w:bCs/>
          <w:color w:val="CD9A00"/>
          <w:sz w:val="28"/>
          <w:szCs w:val="28"/>
        </w:rPr>
        <w:lastRenderedPageBreak/>
        <w:t>GRUPO I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709" w:hanging="709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1.1. a) </w:t>
      </w:r>
      <w:r w:rsidRPr="00016169">
        <w:rPr>
          <w:rFonts w:cs="Arial"/>
          <w:color w:val="000000"/>
          <w:sz w:val="21"/>
          <w:szCs w:val="21"/>
        </w:rPr>
        <w:t>Alemanha invade a Renânia; ou Alemanha</w:t>
      </w:r>
      <w:r>
        <w:rPr>
          <w:rFonts w:cs="Arial"/>
          <w:color w:val="000000"/>
          <w:sz w:val="21"/>
          <w:szCs w:val="21"/>
        </w:rPr>
        <w:t xml:space="preserve"> </w:t>
      </w:r>
      <w:r w:rsidRPr="00016169">
        <w:rPr>
          <w:rFonts w:cs="Arial"/>
          <w:color w:val="000000"/>
          <w:sz w:val="21"/>
          <w:szCs w:val="21"/>
        </w:rPr>
        <w:t>anexa a Áustria;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b) </w:t>
      </w:r>
      <w:r w:rsidRPr="00016169">
        <w:rPr>
          <w:rFonts w:cs="Arial"/>
          <w:color w:val="000000"/>
          <w:sz w:val="21"/>
          <w:szCs w:val="21"/>
        </w:rPr>
        <w:t>Alemanha invade a Polónia;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c) </w:t>
      </w:r>
      <w:r w:rsidRPr="00016169">
        <w:rPr>
          <w:rFonts w:cs="Arial"/>
          <w:color w:val="000000"/>
          <w:sz w:val="21"/>
          <w:szCs w:val="21"/>
        </w:rPr>
        <w:t>Alemães ocupam Paris;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d) </w:t>
      </w:r>
      <w:r w:rsidRPr="00016169">
        <w:rPr>
          <w:rFonts w:cs="Arial"/>
          <w:color w:val="000000"/>
          <w:sz w:val="21"/>
          <w:szCs w:val="21"/>
        </w:rPr>
        <w:t>Alemanha invade a URSS;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e) </w:t>
      </w:r>
      <w:r w:rsidRPr="00016169">
        <w:rPr>
          <w:rFonts w:cs="Arial"/>
          <w:color w:val="000000"/>
          <w:sz w:val="21"/>
          <w:szCs w:val="21"/>
        </w:rPr>
        <w:t>Nesta noite, os alemães agrediram Judeus,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destruíram as suas sinagogas, lojas e casas;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f) </w:t>
      </w:r>
      <w:r w:rsidRPr="00016169">
        <w:rPr>
          <w:rFonts w:cs="Arial"/>
          <w:color w:val="000000"/>
          <w:sz w:val="21"/>
          <w:szCs w:val="21"/>
        </w:rPr>
        <w:t>Ataque japonês a Pearl Harbor;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g) </w:t>
      </w:r>
      <w:r w:rsidRPr="00016169">
        <w:rPr>
          <w:rFonts w:cs="Arial"/>
          <w:color w:val="000000"/>
          <w:sz w:val="21"/>
          <w:szCs w:val="21"/>
        </w:rPr>
        <w:t>Dia D; Bombas atómicas sobre o Japão;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h) </w:t>
      </w:r>
      <w:r w:rsidRPr="00016169">
        <w:rPr>
          <w:rFonts w:cs="Arial"/>
          <w:color w:val="000000"/>
          <w:sz w:val="21"/>
          <w:szCs w:val="21"/>
        </w:rPr>
        <w:t>Julgamento de Nuremberga;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i) </w:t>
      </w:r>
      <w:r w:rsidRPr="00016169">
        <w:rPr>
          <w:rFonts w:cs="Arial"/>
          <w:color w:val="000000"/>
          <w:sz w:val="21"/>
          <w:szCs w:val="21"/>
        </w:rPr>
        <w:t>Fundação da ONU.</w:t>
      </w:r>
    </w:p>
    <w:p w:rsidR="00016169" w:rsidRPr="00016169" w:rsidRDefault="00016169" w:rsidP="00016169">
      <w:pPr>
        <w:autoSpaceDE w:val="0"/>
        <w:autoSpaceDN w:val="0"/>
        <w:adjustRightInd w:val="0"/>
        <w:spacing w:before="240"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1.2. </w:t>
      </w:r>
      <w:r w:rsidRPr="00016169">
        <w:rPr>
          <w:rFonts w:cs="Arial"/>
          <w:color w:val="000000"/>
          <w:sz w:val="21"/>
          <w:szCs w:val="21"/>
        </w:rPr>
        <w:t>No final da 2.ª Guerra, grande parte da Europa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Central, várias regiões da Ásia e parte de África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estavam devastadas e arruinadas. Os custos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humanos da guerra foram dramáticos. Mais de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50 milhões de mortos, a maioria civis, milhões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de feridos, deportados, órfãos, desaparecidos e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desalojados.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Os países que se envolveram no conflito,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sobretudo aqueles que foram palco de guerra,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sofreram destruições e danos materiais, alguns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irreparáveis. Cidades inteiras arrasadas, vias de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comunicação, infraestruturas e indústrias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destruídas. Faltavam alimentos e combustíveis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e, mesmo depois da guerra, as famílias tinham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de viver com senhas de racionamento para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obter bens essenciais.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A devastação atingiu os dois lados da Guerra.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Países dos Aliados e do Eixo cometeram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excessos e sofreram horrores e angústias</w:t>
      </w:r>
    </w:p>
    <w:p w:rsid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dificilmente ultrapassáveis.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CD9A00"/>
          <w:sz w:val="28"/>
          <w:szCs w:val="28"/>
        </w:rPr>
      </w:pPr>
      <w:r>
        <w:rPr>
          <w:rFonts w:cs="Arial"/>
          <w:color w:val="000000"/>
          <w:sz w:val="21"/>
          <w:szCs w:val="21"/>
        </w:rPr>
        <w:br w:type="column"/>
      </w:r>
      <w:r w:rsidRPr="00016169">
        <w:rPr>
          <w:rFonts w:cs="Arial"/>
          <w:b/>
          <w:bCs/>
          <w:color w:val="CD9A00"/>
          <w:sz w:val="28"/>
          <w:szCs w:val="28"/>
        </w:rPr>
        <w:lastRenderedPageBreak/>
        <w:t>GRUPO II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2.1. a) </w:t>
      </w:r>
      <w:r w:rsidRPr="00016169">
        <w:rPr>
          <w:rFonts w:cs="Arial"/>
          <w:color w:val="000000"/>
          <w:sz w:val="21"/>
          <w:szCs w:val="21"/>
        </w:rPr>
        <w:t>os EUA e a URSS.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b) </w:t>
      </w:r>
      <w:r w:rsidRPr="00016169">
        <w:rPr>
          <w:rFonts w:cs="Arial"/>
          <w:color w:val="000000"/>
          <w:sz w:val="21"/>
          <w:szCs w:val="21"/>
        </w:rPr>
        <w:t>o bloco de leste, marcado pelo comunismo.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c) </w:t>
      </w:r>
      <w:r w:rsidRPr="00016169">
        <w:rPr>
          <w:rFonts w:cs="Arial"/>
          <w:color w:val="000000"/>
          <w:sz w:val="21"/>
          <w:szCs w:val="21"/>
        </w:rPr>
        <w:t>no bloco ocidental, marcado pelo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capitalismo.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d) </w:t>
      </w:r>
      <w:r w:rsidRPr="00016169">
        <w:rPr>
          <w:rFonts w:cs="Arial"/>
          <w:color w:val="000000"/>
          <w:sz w:val="21"/>
          <w:szCs w:val="21"/>
        </w:rPr>
        <w:t>os EUA com o Plano Marshall e a NATO e na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URSS com o COMECON e o Pacto de Varsóvia.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b/>
          <w:bCs/>
          <w:color w:val="004366"/>
          <w:sz w:val="21"/>
          <w:szCs w:val="21"/>
        </w:rPr>
        <w:t xml:space="preserve">3. </w:t>
      </w:r>
      <w:r w:rsidRPr="00016169">
        <w:rPr>
          <w:rFonts w:cs="Arial"/>
          <w:color w:val="000000"/>
          <w:sz w:val="21"/>
          <w:szCs w:val="21"/>
        </w:rPr>
        <w:t>Após a 2.ª Guerra Mundial, o Mundo assistiu à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transformação dos EUA e da URSS em duas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superpotências mundiais (fonte A).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A reconstrução da Europa Ocidental foi apoiada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pelos EUA através do Plano Marshall, enquanto a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Europa de Leste se ligava à URSS através do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COMECON (fonte C). O antagonismo entre estes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dois países devia-se ao facto de defenderem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modelos políticos, económicos e sociais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baseados em ideologias distintas. A divisão do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mundo em áreas de influência levou à formação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de dois blocos militares antagónicos: a NATO ou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OTAN (Organização do Tratado do Atlântico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Norte) e o Pacto de Varsóvia (fonte B). Esta</w:t>
      </w:r>
    </w:p>
    <w:p w:rsidR="00016169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política deu origem ao período conhecido por</w:t>
      </w:r>
    </w:p>
    <w:p w:rsidR="00B81C16" w:rsidRPr="00016169" w:rsidRDefault="00016169" w:rsidP="00016169">
      <w:pPr>
        <w:rPr>
          <w:rFonts w:cs="Arial"/>
          <w:color w:val="000000"/>
          <w:sz w:val="21"/>
          <w:szCs w:val="21"/>
        </w:rPr>
      </w:pPr>
      <w:r w:rsidRPr="00016169">
        <w:rPr>
          <w:rFonts w:cs="Arial"/>
          <w:color w:val="000000"/>
          <w:sz w:val="21"/>
          <w:szCs w:val="21"/>
        </w:rPr>
        <w:t>Guerra Fria.</w:t>
      </w:r>
    </w:p>
    <w:p w:rsidR="00016169" w:rsidRDefault="00016169" w:rsidP="00B81C16">
      <w:pPr>
        <w:rPr>
          <w:rFonts w:cs="Arial"/>
          <w:color w:val="000000"/>
          <w:sz w:val="21"/>
          <w:szCs w:val="21"/>
        </w:rPr>
        <w:sectPr w:rsidR="00016169" w:rsidSect="00016169">
          <w:type w:val="continuous"/>
          <w:pgSz w:w="11906" w:h="16838"/>
          <w:pgMar w:top="851" w:right="284" w:bottom="1417" w:left="993" w:header="708" w:footer="708" w:gutter="0"/>
          <w:pgNumType w:start="105"/>
          <w:cols w:num="2" w:space="708"/>
          <w:docGrid w:linePitch="360"/>
        </w:sectPr>
      </w:pPr>
    </w:p>
    <w:p w:rsidR="00B81C16" w:rsidRPr="00B81C16" w:rsidRDefault="00B81C16" w:rsidP="00B81C16">
      <w:pPr>
        <w:rPr>
          <w:rFonts w:cs="Arial"/>
          <w:color w:val="000000"/>
          <w:sz w:val="21"/>
          <w:szCs w:val="21"/>
        </w:rPr>
      </w:pPr>
    </w:p>
    <w:sectPr w:rsidR="00B81C16" w:rsidRPr="00B81C16" w:rsidSect="00B219EA">
      <w:type w:val="continuous"/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5E5" w:rsidRDefault="00C865E5" w:rsidP="00D811C8">
      <w:pPr>
        <w:spacing w:after="0" w:line="240" w:lineRule="auto"/>
      </w:pPr>
      <w:r>
        <w:separator/>
      </w:r>
    </w:p>
  </w:endnote>
  <w:endnote w:type="continuationSeparator" w:id="0">
    <w:p w:rsidR="00C865E5" w:rsidRDefault="00C865E5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70" w:rsidRDefault="009E7670" w:rsidP="009E7670">
    <w:pPr>
      <w:autoSpaceDE w:val="0"/>
      <w:autoSpaceDN w:val="0"/>
      <w:adjustRightInd w:val="0"/>
      <w:spacing w:after="0" w:line="240" w:lineRule="auto"/>
    </w:pPr>
    <w:r>
      <w:t>Casa da Aula – Centro de Explicações</w:t>
    </w:r>
  </w:p>
  <w:p w:rsidR="009E7670" w:rsidRDefault="009E767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5E5" w:rsidRDefault="00C865E5" w:rsidP="00D811C8">
      <w:pPr>
        <w:spacing w:after="0" w:line="240" w:lineRule="auto"/>
      </w:pPr>
      <w:r>
        <w:separator/>
      </w:r>
    </w:p>
  </w:footnote>
  <w:footnote w:type="continuationSeparator" w:id="0">
    <w:p w:rsidR="00C865E5" w:rsidRDefault="00C865E5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93006"/>
    <w:rsid w:val="00016169"/>
    <w:rsid w:val="00023A91"/>
    <w:rsid w:val="00037C5B"/>
    <w:rsid w:val="00193006"/>
    <w:rsid w:val="001E563A"/>
    <w:rsid w:val="001F4A68"/>
    <w:rsid w:val="002161DE"/>
    <w:rsid w:val="003259B9"/>
    <w:rsid w:val="003722B6"/>
    <w:rsid w:val="003E1B03"/>
    <w:rsid w:val="004371BE"/>
    <w:rsid w:val="00480FEB"/>
    <w:rsid w:val="004A0D82"/>
    <w:rsid w:val="004C4378"/>
    <w:rsid w:val="00592C92"/>
    <w:rsid w:val="005F2F45"/>
    <w:rsid w:val="006301E0"/>
    <w:rsid w:val="00656349"/>
    <w:rsid w:val="00692464"/>
    <w:rsid w:val="00692B2B"/>
    <w:rsid w:val="006C2E90"/>
    <w:rsid w:val="006F7DC3"/>
    <w:rsid w:val="00706292"/>
    <w:rsid w:val="00765A70"/>
    <w:rsid w:val="007D28D3"/>
    <w:rsid w:val="00855C11"/>
    <w:rsid w:val="009510BC"/>
    <w:rsid w:val="009905B4"/>
    <w:rsid w:val="009E7670"/>
    <w:rsid w:val="009F1B16"/>
    <w:rsid w:val="00A6571F"/>
    <w:rsid w:val="00AC4D1E"/>
    <w:rsid w:val="00B02D0C"/>
    <w:rsid w:val="00B13A39"/>
    <w:rsid w:val="00B13AC3"/>
    <w:rsid w:val="00B13DD1"/>
    <w:rsid w:val="00B165B4"/>
    <w:rsid w:val="00B219EA"/>
    <w:rsid w:val="00B81C16"/>
    <w:rsid w:val="00BA3545"/>
    <w:rsid w:val="00C77ACB"/>
    <w:rsid w:val="00C865E5"/>
    <w:rsid w:val="00CA5CB6"/>
    <w:rsid w:val="00D14502"/>
    <w:rsid w:val="00D20E3D"/>
    <w:rsid w:val="00D256F5"/>
    <w:rsid w:val="00D45168"/>
    <w:rsid w:val="00D811C8"/>
    <w:rsid w:val="00DB6556"/>
    <w:rsid w:val="00E42C1C"/>
    <w:rsid w:val="00E85871"/>
    <w:rsid w:val="00EC3E24"/>
    <w:rsid w:val="00F5270C"/>
    <w:rsid w:val="00F74984"/>
    <w:rsid w:val="00F832F2"/>
    <w:rsid w:val="00FC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811C8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arcte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11C8"/>
    <w:rPr>
      <w:rFonts w:ascii="Arial" w:hAnsi="Arial"/>
      <w:color w:val="auto"/>
      <w:sz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1808</Characters>
  <Application>Microsoft Office Word</Application>
  <DocSecurity>0</DocSecurity>
  <Lines>66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4</cp:revision>
  <dcterms:created xsi:type="dcterms:W3CDTF">2015-02-25T23:04:00Z</dcterms:created>
  <dcterms:modified xsi:type="dcterms:W3CDTF">2016-02-29T14:35:00Z</dcterms:modified>
</cp:coreProperties>
</file>