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80C" w:rsidRDefault="00C0380C" w:rsidP="00B219EA">
      <w:pPr>
        <w:autoSpaceDE w:val="0"/>
        <w:autoSpaceDN w:val="0"/>
        <w:adjustRightInd w:val="0"/>
        <w:spacing w:after="0"/>
        <w:ind w:left="3969" w:hanging="3969"/>
      </w:pPr>
      <w:r>
        <w:t>Casa da Aula – Centro de Explicações</w:t>
      </w:r>
    </w:p>
    <w:p w:rsidR="00C0380C" w:rsidRDefault="00C0380C" w:rsidP="00B219EA">
      <w:pPr>
        <w:autoSpaceDE w:val="0"/>
        <w:autoSpaceDN w:val="0"/>
        <w:adjustRightInd w:val="0"/>
        <w:spacing w:after="0"/>
        <w:ind w:left="3969" w:hanging="3969"/>
      </w:pPr>
    </w:p>
    <w:p w:rsidR="00C0380C" w:rsidRDefault="00C0380C" w:rsidP="00B219EA">
      <w:pPr>
        <w:autoSpaceDE w:val="0"/>
        <w:autoSpaceDN w:val="0"/>
        <w:adjustRightInd w:val="0"/>
        <w:spacing w:after="0"/>
        <w:ind w:left="3969" w:hanging="3969"/>
      </w:pPr>
    </w:p>
    <w:p w:rsidR="00C0380C" w:rsidRDefault="00C0380C" w:rsidP="00B219EA">
      <w:pPr>
        <w:autoSpaceDE w:val="0"/>
        <w:autoSpaceDN w:val="0"/>
        <w:adjustRightInd w:val="0"/>
        <w:spacing w:after="0"/>
        <w:ind w:left="3969" w:hanging="3969"/>
      </w:pPr>
    </w:p>
    <w:p w:rsidR="00C0380C" w:rsidRDefault="00C0380C" w:rsidP="00B219EA">
      <w:pPr>
        <w:autoSpaceDE w:val="0"/>
        <w:autoSpaceDN w:val="0"/>
        <w:adjustRightInd w:val="0"/>
        <w:spacing w:after="0"/>
        <w:ind w:left="3969" w:hanging="3969"/>
      </w:pPr>
    </w:p>
    <w:p w:rsidR="00B219EA" w:rsidRPr="00B219EA" w:rsidRDefault="00B219EA" w:rsidP="00B219EA">
      <w:pPr>
        <w:autoSpaceDE w:val="0"/>
        <w:autoSpaceDN w:val="0"/>
        <w:adjustRightInd w:val="0"/>
        <w:spacing w:after="0"/>
        <w:ind w:left="3969" w:hanging="3969"/>
        <w:rPr>
          <w:rFonts w:cs="Arial"/>
          <w:color w:val="004366"/>
          <w:sz w:val="32"/>
          <w:szCs w:val="32"/>
        </w:rPr>
      </w:pPr>
      <w:r w:rsidRPr="00B219EA">
        <w:rPr>
          <w:rFonts w:cs="Arial"/>
          <w:bCs/>
          <w:color w:val="004366"/>
          <w:sz w:val="32"/>
          <w:szCs w:val="32"/>
        </w:rPr>
        <w:t xml:space="preserve">Ficha de Avaliação </w:t>
      </w:r>
      <w:r w:rsidRPr="00B219EA">
        <w:rPr>
          <w:rFonts w:cs="Arial"/>
          <w:color w:val="004366"/>
          <w:sz w:val="32"/>
          <w:szCs w:val="32"/>
        </w:rPr>
        <w:t>| 10.2. A 2.ª Guerra Mundial: violência e reconstrução</w:t>
      </w:r>
    </w:p>
    <w:p w:rsidR="003722B6" w:rsidRPr="00B219EA" w:rsidRDefault="00B219EA" w:rsidP="00B219EA">
      <w:pPr>
        <w:ind w:left="2977"/>
        <w:rPr>
          <w:rFonts w:cs="Arial"/>
          <w:color w:val="004366"/>
          <w:sz w:val="32"/>
          <w:szCs w:val="32"/>
        </w:rPr>
      </w:pPr>
      <w:r w:rsidRPr="00B219EA">
        <w:rPr>
          <w:rFonts w:cs="Arial"/>
          <w:color w:val="004366"/>
          <w:sz w:val="32"/>
          <w:szCs w:val="32"/>
        </w:rPr>
        <w:t>11.1. A Guerra Fria</w:t>
      </w:r>
    </w:p>
    <w:p w:rsidR="000171A8" w:rsidRPr="00B564E1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Enc. </w:t>
      </w:r>
      <w:proofErr w:type="gramStart"/>
      <w:r w:rsidRPr="00B564E1">
        <w:rPr>
          <w:rFonts w:cs="Arial"/>
          <w:b/>
          <w:bCs/>
          <w:sz w:val="18"/>
          <w:szCs w:val="18"/>
        </w:rPr>
        <w:t>de</w:t>
      </w:r>
      <w:proofErr w:type="gramEnd"/>
      <w:r w:rsidRPr="00B564E1">
        <w:rPr>
          <w:rFonts w:cs="Arial"/>
          <w:b/>
          <w:bCs/>
          <w:sz w:val="18"/>
          <w:szCs w:val="18"/>
        </w:rPr>
        <w:t xml:space="preserve">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:rsidR="00B219EA" w:rsidRPr="00B219EA" w:rsidRDefault="00B219EA" w:rsidP="00B219EA">
      <w:pPr>
        <w:rPr>
          <w:rFonts w:cs="Arial"/>
        </w:rPr>
      </w:pPr>
    </w:p>
    <w:p w:rsidR="00B219EA" w:rsidRPr="00B219EA" w:rsidRDefault="00B219EA" w:rsidP="00B219EA">
      <w:pPr>
        <w:autoSpaceDE w:val="0"/>
        <w:autoSpaceDN w:val="0"/>
        <w:adjustRightInd w:val="0"/>
        <w:spacing w:after="0"/>
        <w:rPr>
          <w:rFonts w:cs="Arial"/>
          <w:color w:val="CD9A00"/>
          <w:sz w:val="34"/>
          <w:szCs w:val="34"/>
        </w:rPr>
      </w:pPr>
      <w:r w:rsidRPr="00B219EA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B219EA">
        <w:rPr>
          <w:rFonts w:cs="Arial"/>
          <w:color w:val="CD9A00"/>
          <w:sz w:val="34"/>
          <w:szCs w:val="34"/>
        </w:rPr>
        <w:t>– 10.2. A 2.ª Guerra Mundial: violência e reconstrução</w:t>
      </w:r>
    </w:p>
    <w:p w:rsidR="00B81C16" w:rsidRDefault="00B81C16" w:rsidP="00B219EA">
      <w:pPr>
        <w:rPr>
          <w:rFonts w:cs="Arial"/>
          <w:b/>
          <w:bCs/>
          <w:color w:val="004366"/>
          <w:sz w:val="22"/>
          <w:szCs w:val="22"/>
        </w:rPr>
      </w:pPr>
    </w:p>
    <w:p w:rsidR="00B219EA" w:rsidRPr="00B219EA" w:rsidRDefault="00B219EA" w:rsidP="00B219EA">
      <w:pPr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1. </w:t>
      </w:r>
      <w:r w:rsidRPr="00B219EA">
        <w:rPr>
          <w:rFonts w:cs="Arial"/>
          <w:color w:val="000000"/>
          <w:sz w:val="21"/>
          <w:szCs w:val="21"/>
        </w:rPr>
        <w:t>Atenta na cronologia.</w:t>
      </w:r>
    </w:p>
    <w:p w:rsidR="00B219EA" w:rsidRPr="00B219EA" w:rsidRDefault="00B219EA" w:rsidP="00B219EA">
      <w:pPr>
        <w:rPr>
          <w:rFonts w:cs="Arial"/>
          <w:color w:val="000000"/>
          <w:sz w:val="21"/>
          <w:szCs w:val="21"/>
        </w:rPr>
        <w:sectPr w:rsidR="00B219EA" w:rsidRPr="00B219EA" w:rsidSect="00692B2B">
          <w:footerReference w:type="default" r:id="rId6"/>
          <w:pgSz w:w="11906" w:h="16838"/>
          <w:pgMar w:top="851" w:right="284" w:bottom="1417" w:left="993" w:header="708" w:footer="708" w:gutter="0"/>
          <w:pgNumType w:start="105"/>
          <w:cols w:space="708"/>
          <w:docGrid w:linePitch="360"/>
        </w:sectPr>
      </w:pPr>
    </w:p>
    <w:tbl>
      <w:tblPr>
        <w:tblStyle w:val="Tabelacomgrelha"/>
        <w:tblW w:w="0" w:type="auto"/>
        <w:tblLook w:val="04A0"/>
      </w:tblPr>
      <w:tblGrid>
        <w:gridCol w:w="817"/>
        <w:gridCol w:w="3544"/>
      </w:tblGrid>
      <w:tr w:rsidR="00B219EA" w:rsidRPr="00B81C16" w:rsidTr="00B81C16">
        <w:tc>
          <w:tcPr>
            <w:tcW w:w="817" w:type="dxa"/>
            <w:shd w:val="clear" w:color="auto" w:fill="EEECE1" w:themeFill="background2"/>
            <w:vAlign w:val="center"/>
          </w:tcPr>
          <w:p w:rsidR="00B219EA" w:rsidRPr="00B81C16" w:rsidRDefault="00B219EA" w:rsidP="00B81C16">
            <w:pPr>
              <w:spacing w:before="120" w:after="120" w:line="276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81C16">
              <w:rPr>
                <w:rFonts w:cs="Arial"/>
                <w:b/>
                <w:bCs/>
                <w:sz w:val="18"/>
                <w:szCs w:val="18"/>
              </w:rPr>
              <w:lastRenderedPageBreak/>
              <w:t>Ano</w:t>
            </w:r>
          </w:p>
        </w:tc>
        <w:tc>
          <w:tcPr>
            <w:tcW w:w="3544" w:type="dxa"/>
            <w:shd w:val="clear" w:color="auto" w:fill="EEECE1" w:themeFill="background2"/>
            <w:vAlign w:val="center"/>
          </w:tcPr>
          <w:p w:rsidR="00B219EA" w:rsidRPr="00B81C16" w:rsidRDefault="00B219EA" w:rsidP="00B81C16">
            <w:pPr>
              <w:spacing w:before="120" w:after="120" w:line="276" w:lineRule="auto"/>
              <w:jc w:val="center"/>
              <w:rPr>
                <w:rFonts w:cs="Arial"/>
              </w:rPr>
            </w:pPr>
            <w:r w:rsidRPr="00B81C16">
              <w:rPr>
                <w:rFonts w:cs="Arial"/>
                <w:b/>
                <w:bCs/>
                <w:sz w:val="18"/>
                <w:szCs w:val="18"/>
              </w:rPr>
              <w:t>Acontecimentos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1931</w:t>
            </w:r>
          </w:p>
        </w:tc>
        <w:tc>
          <w:tcPr>
            <w:tcW w:w="3544" w:type="dxa"/>
          </w:tcPr>
          <w:p w:rsidR="00B219EA" w:rsidRPr="00B81C16" w:rsidRDefault="00B219EA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O Japão invade a Manchúria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1936</w:t>
            </w:r>
          </w:p>
        </w:tc>
        <w:tc>
          <w:tcPr>
            <w:tcW w:w="3544" w:type="dxa"/>
          </w:tcPr>
          <w:p w:rsidR="00B219EA" w:rsidRPr="00B81C16" w:rsidRDefault="00B219EA" w:rsidP="00B81C16">
            <w:pPr>
              <w:autoSpaceDE w:val="0"/>
              <w:autoSpaceDN w:val="0"/>
              <w:adjustRightInd w:val="0"/>
              <w:spacing w:before="120" w:line="276" w:lineRule="auto"/>
              <w:rPr>
                <w:rFonts w:cs="Arial"/>
                <w:sz w:val="17"/>
                <w:szCs w:val="17"/>
              </w:rPr>
            </w:pPr>
            <w:r w:rsidRPr="00B81C16">
              <w:rPr>
                <w:rFonts w:cs="Arial"/>
                <w:sz w:val="17"/>
                <w:szCs w:val="17"/>
              </w:rPr>
              <w:t>Alemanha invade a Renânia</w:t>
            </w:r>
          </w:p>
          <w:p w:rsidR="00B219EA" w:rsidRPr="00B81C16" w:rsidRDefault="00B219EA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Eixo Roma-Berlim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1938</w:t>
            </w:r>
          </w:p>
        </w:tc>
        <w:tc>
          <w:tcPr>
            <w:tcW w:w="3544" w:type="dxa"/>
          </w:tcPr>
          <w:p w:rsidR="00B219EA" w:rsidRPr="00B81C16" w:rsidRDefault="00B219EA" w:rsidP="00B81C16">
            <w:pPr>
              <w:autoSpaceDE w:val="0"/>
              <w:autoSpaceDN w:val="0"/>
              <w:adjustRightInd w:val="0"/>
              <w:spacing w:before="120" w:line="276" w:lineRule="auto"/>
              <w:rPr>
                <w:rFonts w:cs="Arial"/>
                <w:sz w:val="17"/>
                <w:szCs w:val="17"/>
              </w:rPr>
            </w:pPr>
            <w:r w:rsidRPr="00B81C16">
              <w:rPr>
                <w:rFonts w:cs="Arial"/>
                <w:sz w:val="17"/>
                <w:szCs w:val="17"/>
              </w:rPr>
              <w:t>Alemanha anexa a Áustria</w:t>
            </w:r>
          </w:p>
          <w:p w:rsidR="00B219EA" w:rsidRPr="00B81C16" w:rsidRDefault="00B219EA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“Noite dos Cristais”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1939</w:t>
            </w:r>
          </w:p>
        </w:tc>
        <w:tc>
          <w:tcPr>
            <w:tcW w:w="3544" w:type="dxa"/>
          </w:tcPr>
          <w:p w:rsidR="00B219EA" w:rsidRPr="00B81C16" w:rsidRDefault="00B219EA" w:rsidP="00B81C16">
            <w:pPr>
              <w:autoSpaceDE w:val="0"/>
              <w:autoSpaceDN w:val="0"/>
              <w:adjustRightInd w:val="0"/>
              <w:spacing w:before="120" w:line="276" w:lineRule="auto"/>
              <w:rPr>
                <w:rFonts w:cs="Arial"/>
                <w:sz w:val="17"/>
                <w:szCs w:val="17"/>
              </w:rPr>
            </w:pPr>
            <w:r w:rsidRPr="00B81C16">
              <w:rPr>
                <w:rFonts w:cs="Arial"/>
                <w:sz w:val="17"/>
                <w:szCs w:val="17"/>
              </w:rPr>
              <w:t>Alemanha invade a Polónia</w:t>
            </w:r>
          </w:p>
          <w:p w:rsidR="00B219EA" w:rsidRPr="00B81C16" w:rsidRDefault="00B219EA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Início da 2.ª Guerra Mundial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1940</w:t>
            </w:r>
          </w:p>
        </w:tc>
        <w:tc>
          <w:tcPr>
            <w:tcW w:w="3544" w:type="dxa"/>
          </w:tcPr>
          <w:p w:rsidR="00B219EA" w:rsidRPr="00B81C16" w:rsidRDefault="00B219EA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Alemães ocupam Paris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1941</w:t>
            </w:r>
          </w:p>
        </w:tc>
        <w:tc>
          <w:tcPr>
            <w:tcW w:w="3544" w:type="dxa"/>
          </w:tcPr>
          <w:p w:rsidR="00B219EA" w:rsidRPr="00B81C16" w:rsidRDefault="00B219EA" w:rsidP="00B81C16">
            <w:pPr>
              <w:autoSpaceDE w:val="0"/>
              <w:autoSpaceDN w:val="0"/>
              <w:adjustRightInd w:val="0"/>
              <w:spacing w:before="120" w:line="276" w:lineRule="auto"/>
              <w:rPr>
                <w:rFonts w:cs="Arial"/>
                <w:sz w:val="17"/>
                <w:szCs w:val="17"/>
              </w:rPr>
            </w:pPr>
            <w:r w:rsidRPr="00B81C16">
              <w:rPr>
                <w:rFonts w:cs="Arial"/>
                <w:sz w:val="17"/>
                <w:szCs w:val="17"/>
              </w:rPr>
              <w:t>Alemanha invade a URSS</w:t>
            </w:r>
          </w:p>
          <w:p w:rsidR="00B219EA" w:rsidRPr="00B81C16" w:rsidRDefault="00B219EA" w:rsidP="00B81C16">
            <w:pPr>
              <w:autoSpaceDE w:val="0"/>
              <w:autoSpaceDN w:val="0"/>
              <w:adjustRightInd w:val="0"/>
              <w:spacing w:before="120" w:line="276" w:lineRule="auto"/>
              <w:rPr>
                <w:rFonts w:cs="Arial"/>
                <w:sz w:val="17"/>
                <w:szCs w:val="17"/>
              </w:rPr>
            </w:pPr>
            <w:r w:rsidRPr="00B81C16">
              <w:rPr>
                <w:rFonts w:cs="Arial"/>
                <w:sz w:val="17"/>
                <w:szCs w:val="17"/>
              </w:rPr>
              <w:t xml:space="preserve">Ataque japonês a </w:t>
            </w:r>
            <w:proofErr w:type="spellStart"/>
            <w:r w:rsidRPr="00B81C16">
              <w:rPr>
                <w:rFonts w:cs="Arial"/>
                <w:sz w:val="17"/>
                <w:szCs w:val="17"/>
              </w:rPr>
              <w:t>Pearl</w:t>
            </w:r>
            <w:proofErr w:type="spellEnd"/>
            <w:r w:rsidRPr="00B81C16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B81C16">
              <w:rPr>
                <w:rFonts w:cs="Arial"/>
                <w:sz w:val="17"/>
                <w:szCs w:val="17"/>
              </w:rPr>
              <w:t>Harbor</w:t>
            </w:r>
            <w:proofErr w:type="spellEnd"/>
          </w:p>
          <w:p w:rsidR="00B219EA" w:rsidRPr="00B81C16" w:rsidRDefault="00B219EA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Entrada dos EUA no conflito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1944</w:t>
            </w:r>
          </w:p>
        </w:tc>
        <w:tc>
          <w:tcPr>
            <w:tcW w:w="3544" w:type="dxa"/>
          </w:tcPr>
          <w:p w:rsidR="00B81C16" w:rsidRPr="00B81C16" w:rsidRDefault="00B81C16" w:rsidP="00B81C16">
            <w:pPr>
              <w:autoSpaceDE w:val="0"/>
              <w:autoSpaceDN w:val="0"/>
              <w:adjustRightInd w:val="0"/>
              <w:spacing w:before="120" w:line="276" w:lineRule="auto"/>
              <w:rPr>
                <w:rFonts w:cs="Arial"/>
                <w:sz w:val="17"/>
                <w:szCs w:val="17"/>
              </w:rPr>
            </w:pPr>
            <w:r w:rsidRPr="00B81C16">
              <w:rPr>
                <w:rFonts w:cs="Arial"/>
                <w:sz w:val="17"/>
                <w:szCs w:val="17"/>
              </w:rPr>
              <w:t>Dia D</w:t>
            </w:r>
          </w:p>
          <w:p w:rsidR="00B219EA" w:rsidRPr="00B81C16" w:rsidRDefault="00B81C16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Libertação de Paris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1945</w:t>
            </w:r>
          </w:p>
        </w:tc>
        <w:tc>
          <w:tcPr>
            <w:tcW w:w="3544" w:type="dxa"/>
          </w:tcPr>
          <w:p w:rsidR="00B81C16" w:rsidRPr="00B81C16" w:rsidRDefault="00B81C16" w:rsidP="00B81C16">
            <w:pPr>
              <w:autoSpaceDE w:val="0"/>
              <w:autoSpaceDN w:val="0"/>
              <w:adjustRightInd w:val="0"/>
              <w:spacing w:before="120" w:line="276" w:lineRule="auto"/>
              <w:rPr>
                <w:rFonts w:cs="Arial"/>
                <w:sz w:val="17"/>
                <w:szCs w:val="17"/>
              </w:rPr>
            </w:pPr>
            <w:r w:rsidRPr="00B81C16">
              <w:rPr>
                <w:rFonts w:cs="Arial"/>
                <w:sz w:val="17"/>
                <w:szCs w:val="17"/>
              </w:rPr>
              <w:t>Capitulação da Alemanha</w:t>
            </w:r>
          </w:p>
          <w:p w:rsidR="00B81C16" w:rsidRPr="00B81C16" w:rsidRDefault="00B81C16" w:rsidP="00B81C16">
            <w:pPr>
              <w:autoSpaceDE w:val="0"/>
              <w:autoSpaceDN w:val="0"/>
              <w:adjustRightInd w:val="0"/>
              <w:spacing w:before="120" w:line="276" w:lineRule="auto"/>
              <w:rPr>
                <w:rFonts w:cs="Arial"/>
                <w:sz w:val="17"/>
                <w:szCs w:val="17"/>
              </w:rPr>
            </w:pPr>
            <w:r w:rsidRPr="00B81C16">
              <w:rPr>
                <w:rFonts w:cs="Arial"/>
                <w:sz w:val="17"/>
                <w:szCs w:val="17"/>
              </w:rPr>
              <w:t>Bombas atómicas sobre o Japão</w:t>
            </w:r>
          </w:p>
          <w:p w:rsidR="00B81C16" w:rsidRPr="00B81C16" w:rsidRDefault="00B81C16" w:rsidP="00B81C16">
            <w:pPr>
              <w:autoSpaceDE w:val="0"/>
              <w:autoSpaceDN w:val="0"/>
              <w:adjustRightInd w:val="0"/>
              <w:spacing w:before="120" w:line="276" w:lineRule="auto"/>
              <w:rPr>
                <w:rFonts w:cs="Arial"/>
                <w:sz w:val="17"/>
                <w:szCs w:val="17"/>
              </w:rPr>
            </w:pPr>
            <w:r w:rsidRPr="00B81C16">
              <w:rPr>
                <w:rFonts w:cs="Arial"/>
                <w:sz w:val="17"/>
                <w:szCs w:val="17"/>
              </w:rPr>
              <w:t>Rendição do Japão</w:t>
            </w:r>
          </w:p>
          <w:p w:rsidR="00B219EA" w:rsidRPr="00B81C16" w:rsidRDefault="00B81C16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Fundação da ONU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1946</w:t>
            </w:r>
          </w:p>
        </w:tc>
        <w:tc>
          <w:tcPr>
            <w:tcW w:w="3544" w:type="dxa"/>
          </w:tcPr>
          <w:p w:rsidR="00B219EA" w:rsidRPr="00B81C16" w:rsidRDefault="00B81C16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Julgamento de Nuremberga</w:t>
            </w:r>
          </w:p>
        </w:tc>
      </w:tr>
      <w:tr w:rsidR="00B219EA" w:rsidRPr="00B81C16" w:rsidTr="00B81C16">
        <w:tc>
          <w:tcPr>
            <w:tcW w:w="817" w:type="dxa"/>
            <w:vAlign w:val="center"/>
          </w:tcPr>
          <w:p w:rsidR="00B219EA" w:rsidRPr="00B81C16" w:rsidRDefault="00B219EA" w:rsidP="00B81C16">
            <w:pPr>
              <w:spacing w:line="276" w:lineRule="auto"/>
              <w:jc w:val="center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1948</w:t>
            </w:r>
          </w:p>
        </w:tc>
        <w:tc>
          <w:tcPr>
            <w:tcW w:w="3544" w:type="dxa"/>
          </w:tcPr>
          <w:p w:rsidR="00B219EA" w:rsidRPr="00B81C16" w:rsidRDefault="00B81C16" w:rsidP="00B81C16">
            <w:pPr>
              <w:spacing w:before="120" w:line="276" w:lineRule="auto"/>
              <w:rPr>
                <w:rFonts w:cs="Arial"/>
                <w:sz w:val="21"/>
                <w:szCs w:val="21"/>
              </w:rPr>
            </w:pPr>
            <w:r w:rsidRPr="00B81C16">
              <w:rPr>
                <w:rFonts w:cs="Arial"/>
                <w:sz w:val="17"/>
                <w:szCs w:val="17"/>
              </w:rPr>
              <w:t>Plano Marshall</w:t>
            </w:r>
          </w:p>
        </w:tc>
      </w:tr>
    </w:tbl>
    <w:p w:rsidR="00B219EA" w:rsidRPr="00B219EA" w:rsidRDefault="00B219EA" w:rsidP="00B219EA">
      <w:pPr>
        <w:rPr>
          <w:rFonts w:cs="Arial"/>
          <w:color w:val="000000"/>
          <w:sz w:val="21"/>
          <w:szCs w:val="21"/>
        </w:rPr>
      </w:pP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lastRenderedPageBreak/>
        <w:t xml:space="preserve">1.1. </w:t>
      </w:r>
      <w:r w:rsidRPr="00B219EA">
        <w:rPr>
          <w:rFonts w:cs="Arial"/>
          <w:color w:val="000000"/>
          <w:sz w:val="21"/>
          <w:szCs w:val="21"/>
        </w:rPr>
        <w:t>Responde às seguintes alíneas.</w:t>
      </w: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ind w:left="426" w:hanging="142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a) </w:t>
      </w:r>
      <w:r w:rsidRPr="00B219EA">
        <w:rPr>
          <w:rFonts w:cs="Arial"/>
          <w:color w:val="000000"/>
          <w:sz w:val="21"/>
          <w:szCs w:val="21"/>
        </w:rPr>
        <w:t>Refere um acontecimento que revele o fracasso da SDN</w:t>
      </w:r>
      <w:r w:rsidR="00B81C16">
        <w:rPr>
          <w:rFonts w:cs="Arial"/>
          <w:color w:val="000000"/>
          <w:sz w:val="21"/>
          <w:szCs w:val="21"/>
        </w:rPr>
        <w:t xml:space="preserve"> </w:t>
      </w:r>
      <w:r w:rsidRPr="00B219EA">
        <w:rPr>
          <w:rFonts w:cs="Arial"/>
          <w:color w:val="000000"/>
          <w:sz w:val="21"/>
          <w:szCs w:val="21"/>
        </w:rPr>
        <w:t>e a expansão dos regimes fascistas, em vésperas da</w:t>
      </w:r>
      <w:r w:rsidR="00B81C16">
        <w:rPr>
          <w:rFonts w:cs="Arial"/>
          <w:color w:val="000000"/>
          <w:sz w:val="21"/>
          <w:szCs w:val="21"/>
        </w:rPr>
        <w:t xml:space="preserve"> </w:t>
      </w:r>
      <w:r w:rsidRPr="00B219EA">
        <w:rPr>
          <w:rFonts w:cs="Arial"/>
          <w:color w:val="000000"/>
          <w:sz w:val="21"/>
          <w:szCs w:val="21"/>
        </w:rPr>
        <w:t>2.ª Guerra Mundial.</w:t>
      </w: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ind w:left="426" w:hanging="142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b) </w:t>
      </w:r>
      <w:r w:rsidRPr="00B219EA">
        <w:rPr>
          <w:rFonts w:cs="Arial"/>
          <w:color w:val="000000"/>
          <w:sz w:val="21"/>
          <w:szCs w:val="21"/>
        </w:rPr>
        <w:t>Identifica o momento que deu início ao segundo</w:t>
      </w:r>
      <w:r w:rsidR="00B81C16">
        <w:rPr>
          <w:rFonts w:cs="Arial"/>
          <w:color w:val="000000"/>
          <w:sz w:val="21"/>
          <w:szCs w:val="21"/>
        </w:rPr>
        <w:t xml:space="preserve"> </w:t>
      </w:r>
      <w:r w:rsidRPr="00B219EA">
        <w:rPr>
          <w:rFonts w:cs="Arial"/>
          <w:color w:val="000000"/>
          <w:sz w:val="21"/>
          <w:szCs w:val="21"/>
        </w:rPr>
        <w:t>grande conflito mundial.</w:t>
      </w: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ind w:left="426" w:hanging="142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c) </w:t>
      </w:r>
      <w:r w:rsidRPr="00B219EA">
        <w:rPr>
          <w:rFonts w:cs="Arial"/>
          <w:color w:val="000000"/>
          <w:sz w:val="21"/>
          <w:szCs w:val="21"/>
        </w:rPr>
        <w:t>Apresenta o rápido avanço das forças do Eixo.</w:t>
      </w: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ind w:left="426" w:hanging="142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d) </w:t>
      </w:r>
      <w:r w:rsidRPr="00B219EA">
        <w:rPr>
          <w:rFonts w:cs="Arial"/>
          <w:color w:val="000000"/>
          <w:sz w:val="21"/>
          <w:szCs w:val="21"/>
        </w:rPr>
        <w:t>Seleciona o evento que marcou o fim do pacto</w:t>
      </w:r>
      <w:r w:rsidR="00B81C16">
        <w:rPr>
          <w:rFonts w:cs="Arial"/>
          <w:color w:val="000000"/>
          <w:sz w:val="21"/>
          <w:szCs w:val="21"/>
        </w:rPr>
        <w:t xml:space="preserve"> </w:t>
      </w:r>
      <w:r w:rsidRPr="00B219EA">
        <w:rPr>
          <w:rFonts w:cs="Arial"/>
          <w:color w:val="000000"/>
          <w:sz w:val="21"/>
          <w:szCs w:val="21"/>
        </w:rPr>
        <w:t>Germano-Soviético.</w:t>
      </w: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ind w:left="426" w:hanging="142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e) </w:t>
      </w:r>
      <w:r w:rsidRPr="00B219EA">
        <w:rPr>
          <w:rFonts w:cs="Arial"/>
          <w:color w:val="000000"/>
          <w:sz w:val="21"/>
          <w:szCs w:val="21"/>
        </w:rPr>
        <w:t>Relaciona o significado da “Noite dos Cristais” com a</w:t>
      </w:r>
      <w:r w:rsidR="00B81C16">
        <w:rPr>
          <w:rFonts w:cs="Arial"/>
          <w:color w:val="000000"/>
          <w:sz w:val="21"/>
          <w:szCs w:val="21"/>
        </w:rPr>
        <w:t xml:space="preserve"> </w:t>
      </w:r>
      <w:r w:rsidRPr="00B219EA">
        <w:rPr>
          <w:rFonts w:cs="Arial"/>
          <w:color w:val="000000"/>
          <w:sz w:val="21"/>
          <w:szCs w:val="21"/>
        </w:rPr>
        <w:t>política de extermínio nazi.</w:t>
      </w: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ind w:left="426" w:hanging="142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f) </w:t>
      </w:r>
      <w:r w:rsidRPr="00B219EA">
        <w:rPr>
          <w:rFonts w:cs="Arial"/>
          <w:color w:val="000000"/>
          <w:sz w:val="21"/>
          <w:szCs w:val="21"/>
        </w:rPr>
        <w:t>Aponta a razão que justificou a entrada dos EUA neste</w:t>
      </w:r>
      <w:r w:rsidR="00B81C16">
        <w:rPr>
          <w:rFonts w:cs="Arial"/>
          <w:color w:val="000000"/>
          <w:sz w:val="21"/>
          <w:szCs w:val="21"/>
        </w:rPr>
        <w:t xml:space="preserve"> </w:t>
      </w:r>
      <w:r w:rsidRPr="00B219EA">
        <w:rPr>
          <w:rFonts w:cs="Arial"/>
          <w:color w:val="000000"/>
          <w:sz w:val="21"/>
          <w:szCs w:val="21"/>
        </w:rPr>
        <w:t>conflito.</w:t>
      </w: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ind w:left="426" w:hanging="142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g) </w:t>
      </w:r>
      <w:r w:rsidRPr="00B219EA">
        <w:rPr>
          <w:rFonts w:cs="Arial"/>
          <w:color w:val="000000"/>
          <w:sz w:val="21"/>
          <w:szCs w:val="21"/>
        </w:rPr>
        <w:t>Enumera os acontecimentos que condicionaram a</w:t>
      </w:r>
      <w:r w:rsidR="00B81C16">
        <w:rPr>
          <w:rFonts w:cs="Arial"/>
          <w:color w:val="000000"/>
          <w:sz w:val="21"/>
          <w:szCs w:val="21"/>
        </w:rPr>
        <w:t xml:space="preserve"> </w:t>
      </w:r>
      <w:r w:rsidRPr="00B219EA">
        <w:rPr>
          <w:rFonts w:cs="Arial"/>
          <w:color w:val="000000"/>
          <w:sz w:val="21"/>
          <w:szCs w:val="21"/>
        </w:rPr>
        <w:t>derrota das forças do Eixo.</w:t>
      </w: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ind w:left="426" w:hanging="142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h) </w:t>
      </w:r>
      <w:r w:rsidRPr="00B219EA">
        <w:rPr>
          <w:rFonts w:cs="Arial"/>
          <w:color w:val="000000"/>
          <w:sz w:val="21"/>
          <w:szCs w:val="21"/>
        </w:rPr>
        <w:t>Indica uma das decisões dos acordos de paz.</w:t>
      </w: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ind w:left="426" w:hanging="142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i) </w:t>
      </w:r>
      <w:r w:rsidRPr="00B219EA">
        <w:rPr>
          <w:rFonts w:cs="Arial"/>
          <w:color w:val="000000"/>
          <w:sz w:val="21"/>
          <w:szCs w:val="21"/>
        </w:rPr>
        <w:t>Qual foi a organização internacional criada para</w:t>
      </w:r>
      <w:r w:rsidR="00B81C16">
        <w:rPr>
          <w:rFonts w:cs="Arial"/>
          <w:color w:val="000000"/>
          <w:sz w:val="21"/>
          <w:szCs w:val="21"/>
        </w:rPr>
        <w:t xml:space="preserve"> </w:t>
      </w:r>
      <w:r w:rsidRPr="00B219EA">
        <w:rPr>
          <w:rFonts w:cs="Arial"/>
          <w:color w:val="000000"/>
          <w:sz w:val="21"/>
          <w:szCs w:val="21"/>
        </w:rPr>
        <w:t xml:space="preserve">substituir a fracassada </w:t>
      </w:r>
      <w:r w:rsidRPr="00960879">
        <w:rPr>
          <w:rFonts w:cs="Arial"/>
          <w:i/>
          <w:color w:val="000000"/>
          <w:sz w:val="21"/>
          <w:szCs w:val="21"/>
        </w:rPr>
        <w:t>Sociedade das Nações</w:t>
      </w:r>
      <w:r w:rsidRPr="00B219EA">
        <w:rPr>
          <w:rFonts w:cs="Arial"/>
          <w:color w:val="000000"/>
          <w:sz w:val="21"/>
          <w:szCs w:val="21"/>
        </w:rPr>
        <w:t>.</w:t>
      </w:r>
    </w:p>
    <w:p w:rsidR="00B219EA" w:rsidRPr="00B219EA" w:rsidRDefault="00B219EA" w:rsidP="00B219EA">
      <w:pPr>
        <w:rPr>
          <w:rFonts w:cs="Arial"/>
          <w:color w:val="000000"/>
          <w:sz w:val="21"/>
          <w:szCs w:val="21"/>
        </w:rPr>
        <w:sectPr w:rsidR="00B219EA" w:rsidRPr="00B219EA" w:rsidSect="00B219EA">
          <w:type w:val="continuous"/>
          <w:pgSz w:w="11906" w:h="16838"/>
          <w:pgMar w:top="851" w:right="284" w:bottom="1417" w:left="993" w:header="708" w:footer="708" w:gutter="0"/>
          <w:pgNumType w:start="105"/>
          <w:cols w:num="2" w:space="708"/>
          <w:docGrid w:linePitch="360"/>
        </w:sectPr>
      </w:pPr>
    </w:p>
    <w:p w:rsidR="00B219EA" w:rsidRPr="00B219EA" w:rsidRDefault="00B219EA" w:rsidP="00B219EA">
      <w:pPr>
        <w:rPr>
          <w:rFonts w:cs="Arial"/>
          <w:color w:val="000000"/>
          <w:sz w:val="21"/>
          <w:szCs w:val="21"/>
        </w:rPr>
      </w:pPr>
    </w:p>
    <w:p w:rsidR="00B219EA" w:rsidRPr="00B219EA" w:rsidRDefault="00B219EA" w:rsidP="00B81C16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b/>
          <w:bCs/>
          <w:color w:val="004366"/>
          <w:sz w:val="22"/>
          <w:szCs w:val="22"/>
        </w:rPr>
        <w:t xml:space="preserve">1.2. </w:t>
      </w:r>
      <w:r w:rsidRPr="00B219EA">
        <w:rPr>
          <w:rFonts w:cs="Arial"/>
          <w:color w:val="000000"/>
          <w:sz w:val="21"/>
          <w:szCs w:val="21"/>
        </w:rPr>
        <w:t>A partir da informação da cronologia e dos teus conhecimentos apresenta:</w:t>
      </w:r>
    </w:p>
    <w:p w:rsidR="00B219EA" w:rsidRPr="00B219EA" w:rsidRDefault="00B219EA" w:rsidP="00B81C16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color w:val="000000"/>
          <w:sz w:val="21"/>
          <w:szCs w:val="21"/>
        </w:rPr>
        <w:t xml:space="preserve">• </w:t>
      </w:r>
      <w:proofErr w:type="gramStart"/>
      <w:r w:rsidRPr="00B219EA">
        <w:rPr>
          <w:rFonts w:cs="Arial"/>
          <w:color w:val="000000"/>
          <w:sz w:val="21"/>
          <w:szCs w:val="21"/>
        </w:rPr>
        <w:t>a</w:t>
      </w:r>
      <w:proofErr w:type="gramEnd"/>
      <w:r w:rsidRPr="00B219EA">
        <w:rPr>
          <w:rFonts w:cs="Arial"/>
          <w:color w:val="000000"/>
          <w:sz w:val="21"/>
          <w:szCs w:val="21"/>
        </w:rPr>
        <w:t xml:space="preserve"> dificuldade em encontrar verdadeiras vitórias, mesmo entre os vencedores;</w:t>
      </w:r>
    </w:p>
    <w:p w:rsidR="00B81C16" w:rsidRDefault="00B219EA" w:rsidP="00B81C16">
      <w:pPr>
        <w:ind w:left="426"/>
        <w:rPr>
          <w:rFonts w:cs="Arial"/>
          <w:color w:val="000000"/>
          <w:sz w:val="21"/>
          <w:szCs w:val="21"/>
        </w:rPr>
      </w:pPr>
      <w:r w:rsidRPr="00B219EA">
        <w:rPr>
          <w:rFonts w:cs="Arial"/>
          <w:color w:val="000000"/>
          <w:sz w:val="21"/>
          <w:szCs w:val="21"/>
        </w:rPr>
        <w:t xml:space="preserve">• </w:t>
      </w:r>
      <w:proofErr w:type="gramStart"/>
      <w:r w:rsidRPr="00B219EA">
        <w:rPr>
          <w:rFonts w:cs="Arial"/>
          <w:color w:val="000000"/>
          <w:sz w:val="21"/>
          <w:szCs w:val="21"/>
        </w:rPr>
        <w:t>os</w:t>
      </w:r>
      <w:proofErr w:type="gramEnd"/>
      <w:r w:rsidRPr="00B219EA">
        <w:rPr>
          <w:rFonts w:cs="Arial"/>
          <w:color w:val="000000"/>
          <w:sz w:val="21"/>
          <w:szCs w:val="21"/>
        </w:rPr>
        <w:t xml:space="preserve"> principais custos da guerra.</w:t>
      </w:r>
    </w:p>
    <w:p w:rsidR="00B81C16" w:rsidRDefault="00B81C16">
      <w:pPr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br w:type="page"/>
      </w:r>
    </w:p>
    <w:p w:rsidR="00B81C16" w:rsidRPr="00B81C16" w:rsidRDefault="00B81C16" w:rsidP="00B81C16">
      <w:pPr>
        <w:autoSpaceDE w:val="0"/>
        <w:autoSpaceDN w:val="0"/>
        <w:adjustRightInd w:val="0"/>
        <w:spacing w:after="0"/>
        <w:rPr>
          <w:rFonts w:cs="Arial"/>
          <w:color w:val="CD9A00"/>
          <w:sz w:val="34"/>
          <w:szCs w:val="34"/>
        </w:rPr>
      </w:pPr>
      <w:r>
        <w:rPr>
          <w:rFonts w:cs="Arial"/>
          <w:b/>
          <w:bCs/>
          <w:noProof/>
          <w:color w:val="CD9A00"/>
          <w:sz w:val="34"/>
          <w:szCs w:val="34"/>
          <w:lang w:eastAsia="pt-PT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-201295</wp:posOffset>
            </wp:positionV>
            <wp:extent cx="2519045" cy="2393950"/>
            <wp:effectExtent l="1905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239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C16">
        <w:rPr>
          <w:rFonts w:cs="Arial"/>
          <w:b/>
          <w:bCs/>
          <w:color w:val="CD9A00"/>
          <w:sz w:val="34"/>
          <w:szCs w:val="34"/>
        </w:rPr>
        <w:t xml:space="preserve">GRUPO II </w:t>
      </w:r>
      <w:r w:rsidRPr="00B81C16">
        <w:rPr>
          <w:rFonts w:cs="Arial"/>
          <w:color w:val="CD9A00"/>
          <w:sz w:val="34"/>
          <w:szCs w:val="34"/>
        </w:rPr>
        <w:t>– 11.1. A Guerra Fria</w:t>
      </w:r>
    </w:p>
    <w:p w:rsidR="00B219EA" w:rsidRDefault="00B81C16" w:rsidP="00B81C16">
      <w:pPr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330191</wp:posOffset>
            </wp:positionH>
            <wp:positionV relativeFrom="paragraph">
              <wp:posOffset>265686</wp:posOffset>
            </wp:positionV>
            <wp:extent cx="2987741" cy="1665027"/>
            <wp:effectExtent l="19050" t="0" r="3109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741" cy="1665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C16">
        <w:rPr>
          <w:rFonts w:cs="Arial"/>
          <w:b/>
          <w:bCs/>
          <w:color w:val="004366"/>
          <w:sz w:val="22"/>
          <w:szCs w:val="22"/>
        </w:rPr>
        <w:t xml:space="preserve">2. </w:t>
      </w:r>
      <w:r w:rsidRPr="00B81C16">
        <w:rPr>
          <w:rFonts w:cs="Arial"/>
          <w:color w:val="000000"/>
          <w:sz w:val="21"/>
          <w:szCs w:val="21"/>
        </w:rPr>
        <w:t>Analisa as fontes.</w:t>
      </w: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AE3B45" w:rsidP="00B81C16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>
          <v:rect id="_x0000_s1027" style="position:absolute;margin-left:8.95pt;margin-top:6.5pt;width:239.1pt;height:45.7pt;z-index:251661312" stroked="f">
            <v:textbox style="mso-next-textbox:#_x0000_s1027">
              <w:txbxContent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7"/>
                      <w:szCs w:val="17"/>
                    </w:rPr>
                  </w:pPr>
                  <w:r w:rsidRPr="00B81C16">
                    <w:rPr>
                      <w:rFonts w:cs="Arial"/>
                      <w:sz w:val="17"/>
                      <w:szCs w:val="17"/>
                    </w:rPr>
                    <w:t xml:space="preserve">Fonte A – Cartoon britânico sobre a luta entre os líderes da URSS, </w:t>
                  </w:r>
                  <w:proofErr w:type="spellStart"/>
                  <w:r w:rsidRPr="00B81C16">
                    <w:rPr>
                      <w:rFonts w:cs="Arial"/>
                      <w:sz w:val="17"/>
                      <w:szCs w:val="17"/>
                    </w:rPr>
                    <w:t>Kruschev</w:t>
                  </w:r>
                  <w:proofErr w:type="spellEnd"/>
                  <w:r w:rsidRPr="00B81C16">
                    <w:rPr>
                      <w:rFonts w:cs="Arial"/>
                      <w:sz w:val="17"/>
                      <w:szCs w:val="17"/>
                    </w:rPr>
                    <w:t>, e dos EUA, Kennedy, 1962</w:t>
                  </w:r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7"/>
                      <w:szCs w:val="17"/>
                    </w:rPr>
                  </w:pPr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</w:rPr>
                  </w:pPr>
                  <w:r w:rsidRPr="00B81C16">
                    <w:rPr>
                      <w:rFonts w:ascii="MyriadPro-SemiboldSemiCn" w:hAnsi="MyriadPro-SemiboldSemiCn" w:cs="MyriadPro-SemiboldSemiCn"/>
                      <w:sz w:val="17"/>
                      <w:szCs w:val="17"/>
                    </w:rPr>
                    <w:t>Fonte C</w:t>
                  </w:r>
                </w:p>
              </w:txbxContent>
            </v:textbox>
          </v:rect>
        </w:pict>
      </w:r>
      <w:r>
        <w:rPr>
          <w:rFonts w:cs="Arial"/>
          <w:noProof/>
          <w:color w:val="000000"/>
          <w:sz w:val="21"/>
          <w:szCs w:val="21"/>
          <w:lang w:eastAsia="pt-PT"/>
        </w:rPr>
        <w:pict>
          <v:rect id="_x0000_s1028" style="position:absolute;margin-left:282.9pt;margin-top:13.4pt;width:199.35pt;height:19.9pt;z-index:251662336" stroked="f">
            <v:textbox style="mso-next-textbox:#_x0000_s1028">
              <w:txbxContent>
                <w:p w:rsidR="00B81C16" w:rsidRPr="00B81C16" w:rsidRDefault="00B81C16" w:rsidP="00B81C16">
                  <w:pPr>
                    <w:rPr>
                      <w:rFonts w:cs="Arial"/>
                    </w:rPr>
                  </w:pPr>
                  <w:r w:rsidRPr="00B81C16">
                    <w:rPr>
                      <w:rFonts w:cs="Arial"/>
                      <w:sz w:val="17"/>
                      <w:szCs w:val="17"/>
                    </w:rPr>
                    <w:t>Fonte B – O mundo em 1960</w:t>
                  </w:r>
                </w:p>
              </w:txbxContent>
            </v:textbox>
          </v:rect>
        </w:pict>
      </w: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AE3B45" w:rsidP="00B81C16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>
          <v:rect id="_x0000_s1029" style="position:absolute;margin-left:17pt;margin-top:5.5pt;width:507.2pt;height:101.5pt;z-index:251663360" fillcolor="#ffc" stroked="f">
            <v:textbox>
              <w:txbxContent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81C16">
                    <w:rPr>
                      <w:rFonts w:cs="Arial"/>
                      <w:sz w:val="18"/>
                      <w:szCs w:val="18"/>
                    </w:rPr>
                    <w:t>A Conferência verificou que os governos dos Estados Unidos da América, da Grã-Bretanha e de alguns países da Europa</w:t>
                  </w:r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81C16">
                    <w:rPr>
                      <w:rFonts w:cs="Arial"/>
                      <w:sz w:val="18"/>
                      <w:szCs w:val="18"/>
                    </w:rPr>
                    <w:t xml:space="preserve">Ocidental boicotavam as relações comerciais com os países de democracia popular e a URSS, porque estes países </w:t>
                  </w:r>
                  <w:proofErr w:type="gramStart"/>
                  <w:r w:rsidRPr="00B81C16">
                    <w:rPr>
                      <w:rFonts w:cs="Arial"/>
                      <w:sz w:val="18"/>
                      <w:szCs w:val="18"/>
                    </w:rPr>
                    <w:t>se</w:t>
                  </w:r>
                  <w:proofErr w:type="gramEnd"/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81C16">
                    <w:rPr>
                      <w:rFonts w:cs="Arial"/>
                      <w:sz w:val="18"/>
                      <w:szCs w:val="18"/>
                    </w:rPr>
                    <w:t>recusavam</w:t>
                  </w:r>
                  <w:proofErr w:type="gramEnd"/>
                  <w:r w:rsidRPr="00B81C16">
                    <w:rPr>
                      <w:rFonts w:cs="Arial"/>
                      <w:sz w:val="18"/>
                      <w:szCs w:val="18"/>
                    </w:rPr>
                    <w:t xml:space="preserve"> a submeter-se às obrigações do Plano Marshall, que atingem a soberania dos Estados e os seus interesses</w:t>
                  </w:r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81C16">
                    <w:rPr>
                      <w:rFonts w:cs="Arial"/>
                      <w:sz w:val="18"/>
                      <w:szCs w:val="18"/>
                    </w:rPr>
                    <w:t>económicos</w:t>
                  </w:r>
                  <w:proofErr w:type="gramEnd"/>
                  <w:r w:rsidRPr="00B81C16">
                    <w:rPr>
                      <w:rFonts w:cs="Arial"/>
                      <w:sz w:val="18"/>
                      <w:szCs w:val="18"/>
                    </w:rPr>
                    <w:t>. [...]</w:t>
                  </w:r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B81C16">
                    <w:rPr>
                      <w:rFonts w:cs="Arial"/>
                      <w:sz w:val="18"/>
                      <w:szCs w:val="18"/>
                    </w:rPr>
                    <w:t xml:space="preserve">A Conferência reconhece a necessidade de criar um “Conselho de Assistência Mútua” formado por um número igual </w:t>
                  </w:r>
                  <w:proofErr w:type="gramStart"/>
                  <w:r w:rsidRPr="00B81C16">
                    <w:rPr>
                      <w:rFonts w:cs="Arial"/>
                      <w:sz w:val="18"/>
                      <w:szCs w:val="18"/>
                    </w:rPr>
                    <w:t>de</w:t>
                  </w:r>
                  <w:proofErr w:type="gramEnd"/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81C16">
                    <w:rPr>
                      <w:rFonts w:cs="Arial"/>
                      <w:sz w:val="18"/>
                      <w:szCs w:val="18"/>
                    </w:rPr>
                    <w:t>representantes</w:t>
                  </w:r>
                  <w:proofErr w:type="gramEnd"/>
                  <w:r w:rsidRPr="00B81C16">
                    <w:rPr>
                      <w:rFonts w:cs="Arial"/>
                      <w:sz w:val="18"/>
                      <w:szCs w:val="18"/>
                    </w:rPr>
                    <w:t xml:space="preserve"> de cada um dos países participantes [...]. Este Conselho assegurará a troca de experiências adquiridas </w:t>
                  </w:r>
                  <w:proofErr w:type="gramStart"/>
                  <w:r w:rsidRPr="00B81C16">
                    <w:rPr>
                      <w:rFonts w:cs="Arial"/>
                      <w:sz w:val="18"/>
                      <w:szCs w:val="18"/>
                    </w:rPr>
                    <w:t>no</w:t>
                  </w:r>
                  <w:proofErr w:type="gramEnd"/>
                </w:p>
                <w:p w:rsidR="00B81C16" w:rsidRPr="00B81C16" w:rsidRDefault="00B81C16" w:rsidP="00B81C1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proofErr w:type="gramStart"/>
                  <w:r w:rsidRPr="00B81C16">
                    <w:rPr>
                      <w:rFonts w:cs="Arial"/>
                      <w:sz w:val="18"/>
                      <w:szCs w:val="18"/>
                    </w:rPr>
                    <w:t>domínio</w:t>
                  </w:r>
                  <w:proofErr w:type="gramEnd"/>
                  <w:r w:rsidRPr="00B81C16">
                    <w:rPr>
                      <w:rFonts w:cs="Arial"/>
                      <w:sz w:val="18"/>
                      <w:szCs w:val="18"/>
                    </w:rPr>
                    <w:t xml:space="preserve"> económico, assistência técnica recíproca, matérias-primas, géneros alimentícios, máquinas, etc.</w:t>
                  </w:r>
                </w:p>
                <w:p w:rsidR="00B81C16" w:rsidRPr="00B81C16" w:rsidRDefault="00B81C16" w:rsidP="00B81C16">
                  <w:pPr>
                    <w:jc w:val="right"/>
                    <w:rPr>
                      <w:rFonts w:cs="Arial"/>
                    </w:rPr>
                  </w:pPr>
                  <w:r w:rsidRPr="00B81C16">
                    <w:rPr>
                      <w:rFonts w:cs="Arial"/>
                      <w:sz w:val="14"/>
                      <w:szCs w:val="14"/>
                    </w:rPr>
                    <w:t xml:space="preserve">Agência </w:t>
                  </w:r>
                  <w:proofErr w:type="spellStart"/>
                  <w:r w:rsidRPr="00B81C16">
                    <w:rPr>
                      <w:rFonts w:cs="Arial"/>
                      <w:sz w:val="14"/>
                      <w:szCs w:val="14"/>
                    </w:rPr>
                    <w:t>Tass</w:t>
                  </w:r>
                  <w:proofErr w:type="spellEnd"/>
                  <w:r w:rsidRPr="00B81C16">
                    <w:rPr>
                      <w:rFonts w:cs="Arial"/>
                      <w:sz w:val="14"/>
                      <w:szCs w:val="14"/>
                    </w:rPr>
                    <w:t>, Agência de notícias do Estado na URSS, 1949</w:t>
                  </w:r>
                </w:p>
              </w:txbxContent>
            </v:textbox>
          </v:rect>
        </w:pict>
      </w: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Default="00B81C16" w:rsidP="00B81C16">
      <w:pPr>
        <w:rPr>
          <w:rFonts w:cs="Arial"/>
          <w:color w:val="000000"/>
          <w:sz w:val="21"/>
          <w:szCs w:val="21"/>
        </w:rPr>
      </w:pPr>
    </w:p>
    <w:p w:rsidR="005E2CD0" w:rsidRDefault="005E2CD0" w:rsidP="00B81C16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rPr>
          <w:rFonts w:cs="Arial"/>
          <w:sz w:val="21"/>
          <w:szCs w:val="21"/>
        </w:rPr>
      </w:pPr>
      <w:r w:rsidRPr="00B81C16">
        <w:rPr>
          <w:rFonts w:cs="Arial"/>
          <w:b/>
          <w:bCs/>
          <w:sz w:val="22"/>
          <w:szCs w:val="22"/>
        </w:rPr>
        <w:t xml:space="preserve">2.1. </w:t>
      </w:r>
      <w:r w:rsidRPr="00B81C16">
        <w:rPr>
          <w:rFonts w:cs="Arial"/>
          <w:sz w:val="21"/>
          <w:szCs w:val="21"/>
        </w:rPr>
        <w:t>Assinala a opção correta.</w:t>
      </w:r>
    </w:p>
    <w:p w:rsidR="00B81C16" w:rsidRPr="00B81C16" w:rsidRDefault="00B81C16" w:rsidP="00EC3E24">
      <w:pPr>
        <w:autoSpaceDE w:val="0"/>
        <w:autoSpaceDN w:val="0"/>
        <w:adjustRightInd w:val="0"/>
        <w:spacing w:before="120" w:after="0"/>
        <w:ind w:left="142"/>
        <w:rPr>
          <w:rFonts w:cs="Arial"/>
          <w:sz w:val="21"/>
          <w:szCs w:val="21"/>
        </w:rPr>
      </w:pPr>
      <w:r w:rsidRPr="00B81C16">
        <w:rPr>
          <w:rFonts w:cs="Arial"/>
          <w:b/>
          <w:bCs/>
          <w:sz w:val="22"/>
          <w:szCs w:val="22"/>
        </w:rPr>
        <w:t xml:space="preserve">a) </w:t>
      </w:r>
      <w:r w:rsidRPr="00B81C16">
        <w:rPr>
          <w:rFonts w:cs="Arial"/>
          <w:sz w:val="21"/>
          <w:szCs w:val="21"/>
        </w:rPr>
        <w:t>No pós-guerra emergem como novas potências mundiais:</w:t>
      </w:r>
    </w:p>
    <w:p w:rsidR="00B81C16" w:rsidRPr="00B81C16" w:rsidRDefault="00AE3B45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r>
        <w:rPr>
          <w:rFonts w:cs="Arial"/>
          <w:noProof/>
          <w:sz w:val="18"/>
          <w:szCs w:val="18"/>
          <w:lang w:eastAsia="pt-PT"/>
        </w:rPr>
        <w:pict>
          <v:rect id="_x0000_s1040" style="position:absolute;left:0;text-align:left;margin-left:19.7pt;margin-top:246.05pt;width:11.35pt;height:11.35pt;z-index:251675648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9" style="position:absolute;left:0;text-align:left;margin-left:19.7pt;margin-top:227.75pt;width:11.35pt;height:11.35pt;z-index:251674624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41" style="position:absolute;left:0;text-align:left;margin-left:19.7pt;margin-top:263.25pt;width:11.35pt;height:11.35pt;z-index:251676672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7" style="position:absolute;left:0;text-align:left;margin-left:19.7pt;margin-top:171.35pt;width:11.35pt;height:11.35pt;z-index:251672576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6" style="position:absolute;left:0;text-align:left;margin-left:19.7pt;margin-top:153.05pt;width:11.35pt;height:11.35pt;z-index:251671552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8" style="position:absolute;left:0;text-align:left;margin-left:19.7pt;margin-top:188.55pt;width:11.35pt;height:11.35pt;z-index:251673600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4" style="position:absolute;left:0;text-align:left;margin-left:19.7pt;margin-top:96.7pt;width:11.35pt;height:11.35pt;z-index:251669504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3" style="position:absolute;left:0;text-align:left;margin-left:19.7pt;margin-top:78.4pt;width:11.35pt;height:11.35pt;z-index:251668480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5" style="position:absolute;left:0;text-align:left;margin-left:19.7pt;margin-top:113.9pt;width:11.35pt;height:11.35pt;z-index:251670528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2" style="position:absolute;left:0;text-align:left;margin-left:19.7pt;margin-top:38.1pt;width:11.35pt;height:11.35pt;z-index:251667456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1" style="position:absolute;left:0;text-align:left;margin-left:19.7pt;margin-top:20.9pt;width:11.35pt;height:11.35pt;z-index:251666432"/>
        </w:pict>
      </w:r>
      <w:r>
        <w:rPr>
          <w:rFonts w:cs="Arial"/>
          <w:noProof/>
          <w:sz w:val="18"/>
          <w:szCs w:val="18"/>
          <w:lang w:eastAsia="pt-PT"/>
        </w:rPr>
        <w:pict>
          <v:rect id="_x0000_s1030" style="position:absolute;left:0;text-align:left;margin-left:19.7pt;margin-top:2.6pt;width:11.35pt;height:11.35pt;z-index:251665408"/>
        </w:pict>
      </w:r>
      <w:proofErr w:type="gramStart"/>
      <w:r w:rsidR="00B81C16" w:rsidRPr="00B81C16">
        <w:rPr>
          <w:rFonts w:cs="Arial"/>
          <w:sz w:val="18"/>
          <w:szCs w:val="18"/>
        </w:rPr>
        <w:t>a</w:t>
      </w:r>
      <w:proofErr w:type="gramEnd"/>
      <w:r w:rsidR="00B81C16" w:rsidRPr="00B81C16">
        <w:rPr>
          <w:rFonts w:cs="Arial"/>
          <w:sz w:val="18"/>
          <w:szCs w:val="18"/>
        </w:rPr>
        <w:t xml:space="preserve"> Itália e o Japão.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a</w:t>
      </w:r>
      <w:proofErr w:type="gramEnd"/>
      <w:r w:rsidRPr="00B81C16">
        <w:rPr>
          <w:rFonts w:cs="Arial"/>
          <w:sz w:val="18"/>
          <w:szCs w:val="18"/>
        </w:rPr>
        <w:t xml:space="preserve"> Alemanha e o Japão.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os</w:t>
      </w:r>
      <w:proofErr w:type="gramEnd"/>
      <w:r w:rsidRPr="00B81C16">
        <w:rPr>
          <w:rFonts w:cs="Arial"/>
          <w:sz w:val="18"/>
          <w:szCs w:val="18"/>
        </w:rPr>
        <w:t xml:space="preserve"> EUA e a URSS.</w:t>
      </w:r>
    </w:p>
    <w:p w:rsidR="00B81C16" w:rsidRPr="00B81C16" w:rsidRDefault="00B81C16" w:rsidP="00EC3E24">
      <w:pPr>
        <w:autoSpaceDE w:val="0"/>
        <w:autoSpaceDN w:val="0"/>
        <w:adjustRightInd w:val="0"/>
        <w:spacing w:before="120" w:after="0"/>
        <w:ind w:left="142"/>
        <w:rPr>
          <w:rFonts w:cs="Arial"/>
          <w:sz w:val="21"/>
          <w:szCs w:val="21"/>
        </w:rPr>
      </w:pPr>
      <w:r w:rsidRPr="00B81C16">
        <w:rPr>
          <w:rFonts w:cs="Arial"/>
          <w:b/>
          <w:bCs/>
          <w:sz w:val="22"/>
          <w:szCs w:val="22"/>
        </w:rPr>
        <w:t xml:space="preserve">b) </w:t>
      </w:r>
      <w:r w:rsidRPr="00B81C16">
        <w:rPr>
          <w:rFonts w:cs="Arial"/>
          <w:sz w:val="21"/>
          <w:szCs w:val="21"/>
        </w:rPr>
        <w:t>Com a nova “ordem mundial”, os territórios que ficaram sob influência da URSS, formaram: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o</w:t>
      </w:r>
      <w:proofErr w:type="gramEnd"/>
      <w:r w:rsidRPr="00B81C16">
        <w:rPr>
          <w:rFonts w:cs="Arial"/>
          <w:sz w:val="18"/>
          <w:szCs w:val="18"/>
        </w:rPr>
        <w:t xml:space="preserve"> bloco de leste, marcado pelo comunismo.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o</w:t>
      </w:r>
      <w:proofErr w:type="gramEnd"/>
      <w:r w:rsidRPr="00B81C16">
        <w:rPr>
          <w:rFonts w:cs="Arial"/>
          <w:sz w:val="18"/>
          <w:szCs w:val="18"/>
        </w:rPr>
        <w:t xml:space="preserve"> bloco ocidental, marcado pelo capitalismo.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o</w:t>
      </w:r>
      <w:proofErr w:type="gramEnd"/>
      <w:r w:rsidRPr="00B81C16">
        <w:rPr>
          <w:rFonts w:cs="Arial"/>
          <w:sz w:val="18"/>
          <w:szCs w:val="18"/>
        </w:rPr>
        <w:t xml:space="preserve"> bloco de leste, marcado pelo capitalismo.</w:t>
      </w:r>
    </w:p>
    <w:p w:rsidR="00B81C16" w:rsidRPr="00B81C16" w:rsidRDefault="00B81C16" w:rsidP="00EC3E24">
      <w:pPr>
        <w:autoSpaceDE w:val="0"/>
        <w:autoSpaceDN w:val="0"/>
        <w:adjustRightInd w:val="0"/>
        <w:spacing w:before="120" w:after="0"/>
        <w:ind w:left="142"/>
        <w:rPr>
          <w:rFonts w:cs="Arial"/>
          <w:sz w:val="21"/>
          <w:szCs w:val="21"/>
        </w:rPr>
      </w:pPr>
      <w:r w:rsidRPr="00B81C16">
        <w:rPr>
          <w:rFonts w:cs="Arial"/>
          <w:b/>
          <w:bCs/>
          <w:sz w:val="22"/>
          <w:szCs w:val="22"/>
        </w:rPr>
        <w:t xml:space="preserve">c) </w:t>
      </w:r>
      <w:r w:rsidRPr="00B81C16">
        <w:rPr>
          <w:rFonts w:cs="Arial"/>
          <w:sz w:val="21"/>
          <w:szCs w:val="21"/>
        </w:rPr>
        <w:t>Os restantes países europeus, sob influência dos EUA, agruparam-se: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no</w:t>
      </w:r>
      <w:proofErr w:type="gramEnd"/>
      <w:r w:rsidRPr="00B81C16">
        <w:rPr>
          <w:rFonts w:cs="Arial"/>
          <w:sz w:val="18"/>
          <w:szCs w:val="18"/>
        </w:rPr>
        <w:t xml:space="preserve"> bloco de leste, marcado pelo comunismo.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no</w:t>
      </w:r>
      <w:proofErr w:type="gramEnd"/>
      <w:r w:rsidRPr="00B81C16">
        <w:rPr>
          <w:rFonts w:cs="Arial"/>
          <w:sz w:val="18"/>
          <w:szCs w:val="18"/>
        </w:rPr>
        <w:t xml:space="preserve"> bloco ocidental, marcado pelo capitalismo.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no</w:t>
      </w:r>
      <w:proofErr w:type="gramEnd"/>
      <w:r w:rsidRPr="00B81C16">
        <w:rPr>
          <w:rFonts w:cs="Arial"/>
          <w:sz w:val="18"/>
          <w:szCs w:val="18"/>
        </w:rPr>
        <w:t xml:space="preserve"> bloco ocidental, marcado pelo comunismo.</w:t>
      </w:r>
    </w:p>
    <w:p w:rsidR="00B81C16" w:rsidRPr="00B81C16" w:rsidRDefault="00B81C16" w:rsidP="00EC3E24">
      <w:pPr>
        <w:autoSpaceDE w:val="0"/>
        <w:autoSpaceDN w:val="0"/>
        <w:adjustRightInd w:val="0"/>
        <w:spacing w:before="120" w:after="0"/>
        <w:ind w:left="142"/>
        <w:rPr>
          <w:rFonts w:cs="Arial"/>
          <w:sz w:val="21"/>
          <w:szCs w:val="21"/>
        </w:rPr>
      </w:pPr>
      <w:r w:rsidRPr="00B81C16">
        <w:rPr>
          <w:rFonts w:cs="Arial"/>
          <w:b/>
          <w:bCs/>
          <w:sz w:val="22"/>
          <w:szCs w:val="22"/>
        </w:rPr>
        <w:t xml:space="preserve">d) </w:t>
      </w:r>
      <w:r w:rsidRPr="00B81C16">
        <w:rPr>
          <w:rFonts w:cs="Arial"/>
          <w:sz w:val="21"/>
          <w:szCs w:val="21"/>
        </w:rPr>
        <w:t>A política de blocos manifestou-se económica e militarmente: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na</w:t>
      </w:r>
      <w:proofErr w:type="gramEnd"/>
      <w:r w:rsidRPr="00B81C16">
        <w:rPr>
          <w:rFonts w:cs="Arial"/>
          <w:sz w:val="18"/>
          <w:szCs w:val="18"/>
        </w:rPr>
        <w:t xml:space="preserve"> URSS com o Plano Marshall e a NATO, e nos EUA com o COMECON e o Pacto de Varsóvia.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nos</w:t>
      </w:r>
      <w:proofErr w:type="gramEnd"/>
      <w:r w:rsidRPr="00B81C16">
        <w:rPr>
          <w:rFonts w:cs="Arial"/>
          <w:sz w:val="18"/>
          <w:szCs w:val="18"/>
        </w:rPr>
        <w:t xml:space="preserve"> EUA com o Plano Marshall e a NATO, e na URSS com o COMECON e o Pacto de Varsóvia.</w:t>
      </w: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ind w:left="709"/>
        <w:rPr>
          <w:rFonts w:cs="Arial"/>
          <w:sz w:val="18"/>
          <w:szCs w:val="18"/>
        </w:rPr>
      </w:pPr>
      <w:proofErr w:type="gramStart"/>
      <w:r w:rsidRPr="00B81C16">
        <w:rPr>
          <w:rFonts w:cs="Arial"/>
          <w:sz w:val="18"/>
          <w:szCs w:val="18"/>
        </w:rPr>
        <w:t>nos</w:t>
      </w:r>
      <w:proofErr w:type="gramEnd"/>
      <w:r w:rsidRPr="00B81C16">
        <w:rPr>
          <w:rFonts w:cs="Arial"/>
          <w:sz w:val="18"/>
          <w:szCs w:val="18"/>
        </w:rPr>
        <w:t xml:space="preserve"> EUA com o Plano Marshall e a ONU, e na URSS com o COMECON e o Pacto de Varsóvia.</w:t>
      </w:r>
    </w:p>
    <w:p w:rsidR="00B81C16" w:rsidRDefault="00B81C16" w:rsidP="00B81C16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B81C16" w:rsidRPr="00B81C16" w:rsidRDefault="00B81C16" w:rsidP="00B81C16">
      <w:pPr>
        <w:autoSpaceDE w:val="0"/>
        <w:autoSpaceDN w:val="0"/>
        <w:adjustRightInd w:val="0"/>
        <w:spacing w:before="120" w:after="0"/>
        <w:rPr>
          <w:rFonts w:cs="Arial"/>
          <w:sz w:val="21"/>
          <w:szCs w:val="21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5092700</wp:posOffset>
            </wp:positionH>
            <wp:positionV relativeFrom="paragraph">
              <wp:posOffset>185420</wp:posOffset>
            </wp:positionV>
            <wp:extent cx="1440815" cy="559435"/>
            <wp:effectExtent l="19050" t="0" r="6985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C16">
        <w:rPr>
          <w:rFonts w:cs="Arial"/>
          <w:b/>
          <w:bCs/>
          <w:sz w:val="22"/>
          <w:szCs w:val="22"/>
        </w:rPr>
        <w:t xml:space="preserve">3. </w:t>
      </w:r>
      <w:r w:rsidRPr="00B81C16">
        <w:rPr>
          <w:rFonts w:cs="Arial"/>
          <w:sz w:val="21"/>
          <w:szCs w:val="21"/>
        </w:rPr>
        <w:t xml:space="preserve">Partindo da análise das fontes A </w:t>
      </w:r>
      <w:proofErr w:type="spellStart"/>
      <w:r w:rsidRPr="00B81C16">
        <w:rPr>
          <w:rFonts w:cs="Arial"/>
          <w:sz w:val="21"/>
          <w:szCs w:val="21"/>
        </w:rPr>
        <w:t>a</w:t>
      </w:r>
      <w:proofErr w:type="spellEnd"/>
      <w:r w:rsidRPr="00B81C16">
        <w:rPr>
          <w:rFonts w:cs="Arial"/>
          <w:sz w:val="21"/>
          <w:szCs w:val="21"/>
        </w:rPr>
        <w:t xml:space="preserve"> C, explica em que consistiu</w:t>
      </w:r>
      <w:r>
        <w:rPr>
          <w:rFonts w:cs="Arial"/>
          <w:sz w:val="21"/>
          <w:szCs w:val="21"/>
        </w:rPr>
        <w:t xml:space="preserve"> </w:t>
      </w:r>
      <w:r w:rsidRPr="00B81C16">
        <w:rPr>
          <w:rFonts w:cs="Arial"/>
          <w:sz w:val="21"/>
          <w:szCs w:val="21"/>
        </w:rPr>
        <w:t xml:space="preserve">e como se desenvolveu a “Guerra Fria”. </w:t>
      </w:r>
    </w:p>
    <w:p w:rsidR="00B81C16" w:rsidRPr="00B81C16" w:rsidRDefault="00B81C16" w:rsidP="00B81C16">
      <w:pPr>
        <w:rPr>
          <w:rFonts w:cs="Arial"/>
          <w:color w:val="000000"/>
          <w:sz w:val="21"/>
          <w:szCs w:val="21"/>
        </w:rPr>
      </w:pPr>
      <w:bookmarkStart w:id="0" w:name="_GoBack"/>
      <w:bookmarkEnd w:id="0"/>
    </w:p>
    <w:sectPr w:rsidR="00B81C16" w:rsidRPr="00B81C16" w:rsidSect="00B219EA">
      <w:type w:val="continuous"/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14C" w:rsidRDefault="00B8114C" w:rsidP="00D811C8">
      <w:pPr>
        <w:spacing w:after="0" w:line="240" w:lineRule="auto"/>
      </w:pPr>
      <w:r>
        <w:separator/>
      </w:r>
    </w:p>
  </w:endnote>
  <w:endnote w:type="continuationSeparator" w:id="0">
    <w:p w:rsidR="00B8114C" w:rsidRDefault="00B8114C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Pro-SemiboldSemiC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0C" w:rsidRDefault="00C0380C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14C" w:rsidRDefault="00B8114C" w:rsidP="00D811C8">
      <w:pPr>
        <w:spacing w:after="0" w:line="240" w:lineRule="auto"/>
      </w:pPr>
      <w:r>
        <w:separator/>
      </w:r>
    </w:p>
  </w:footnote>
  <w:footnote w:type="continuationSeparator" w:id="0">
    <w:p w:rsidR="00B8114C" w:rsidRDefault="00B8114C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93006"/>
    <w:rsid w:val="000171A8"/>
    <w:rsid w:val="00023A91"/>
    <w:rsid w:val="00193006"/>
    <w:rsid w:val="001E563A"/>
    <w:rsid w:val="001F4A68"/>
    <w:rsid w:val="002161DE"/>
    <w:rsid w:val="003722B6"/>
    <w:rsid w:val="00382249"/>
    <w:rsid w:val="003E1B03"/>
    <w:rsid w:val="004371BE"/>
    <w:rsid w:val="00480FEB"/>
    <w:rsid w:val="004C4378"/>
    <w:rsid w:val="00592C92"/>
    <w:rsid w:val="005E2CD0"/>
    <w:rsid w:val="005F2F45"/>
    <w:rsid w:val="006301E0"/>
    <w:rsid w:val="00656349"/>
    <w:rsid w:val="00692464"/>
    <w:rsid w:val="00692B2B"/>
    <w:rsid w:val="006C2E90"/>
    <w:rsid w:val="006F7DC3"/>
    <w:rsid w:val="00706292"/>
    <w:rsid w:val="00765A70"/>
    <w:rsid w:val="007D28D3"/>
    <w:rsid w:val="00855C11"/>
    <w:rsid w:val="009510BC"/>
    <w:rsid w:val="00960879"/>
    <w:rsid w:val="009905B4"/>
    <w:rsid w:val="009F1B16"/>
    <w:rsid w:val="00A6571F"/>
    <w:rsid w:val="00AC4D1E"/>
    <w:rsid w:val="00AE3B45"/>
    <w:rsid w:val="00B13A39"/>
    <w:rsid w:val="00B13AC3"/>
    <w:rsid w:val="00B13DD1"/>
    <w:rsid w:val="00B165B4"/>
    <w:rsid w:val="00B219EA"/>
    <w:rsid w:val="00B8114C"/>
    <w:rsid w:val="00B81C16"/>
    <w:rsid w:val="00B861A2"/>
    <w:rsid w:val="00BA3545"/>
    <w:rsid w:val="00C0380C"/>
    <w:rsid w:val="00C65031"/>
    <w:rsid w:val="00C77ACB"/>
    <w:rsid w:val="00CA5CB6"/>
    <w:rsid w:val="00D14502"/>
    <w:rsid w:val="00D20E3D"/>
    <w:rsid w:val="00D256F5"/>
    <w:rsid w:val="00D45168"/>
    <w:rsid w:val="00D811C8"/>
    <w:rsid w:val="00DB6556"/>
    <w:rsid w:val="00E42C1C"/>
    <w:rsid w:val="00E85871"/>
    <w:rsid w:val="00EC3E24"/>
    <w:rsid w:val="00F5270C"/>
    <w:rsid w:val="00F74984"/>
    <w:rsid w:val="00F832F2"/>
    <w:rsid w:val="00FB5727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549</Words>
  <Characters>2411</Characters>
  <Application>Microsoft Office Word</Application>
  <DocSecurity>0</DocSecurity>
  <Lines>89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7</cp:revision>
  <dcterms:created xsi:type="dcterms:W3CDTF">2015-02-25T20:51:00Z</dcterms:created>
  <dcterms:modified xsi:type="dcterms:W3CDTF">2016-02-29T14:31:00Z</dcterms:modified>
</cp:coreProperties>
</file>