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65" w:rsidRDefault="00A62165" w:rsidP="00B219EA">
      <w:pPr>
        <w:autoSpaceDE w:val="0"/>
        <w:autoSpaceDN w:val="0"/>
        <w:adjustRightInd w:val="0"/>
        <w:spacing w:after="0"/>
        <w:ind w:left="3969" w:hanging="3969"/>
      </w:pPr>
      <w:r>
        <w:t>Casa da Aula – Centro de Explicações</w:t>
      </w:r>
    </w:p>
    <w:p w:rsidR="00A62165" w:rsidRDefault="00A62165" w:rsidP="00B219EA">
      <w:pPr>
        <w:autoSpaceDE w:val="0"/>
        <w:autoSpaceDN w:val="0"/>
        <w:adjustRightInd w:val="0"/>
        <w:spacing w:after="0"/>
        <w:ind w:left="3969" w:hanging="3969"/>
      </w:pPr>
    </w:p>
    <w:p w:rsidR="00A62165" w:rsidRDefault="00A62165" w:rsidP="00B219EA">
      <w:pPr>
        <w:autoSpaceDE w:val="0"/>
        <w:autoSpaceDN w:val="0"/>
        <w:adjustRightInd w:val="0"/>
        <w:spacing w:after="0"/>
        <w:ind w:left="3969" w:hanging="3969"/>
      </w:pPr>
    </w:p>
    <w:p w:rsidR="00A62165" w:rsidRDefault="00A62165" w:rsidP="00B219EA">
      <w:pPr>
        <w:autoSpaceDE w:val="0"/>
        <w:autoSpaceDN w:val="0"/>
        <w:adjustRightInd w:val="0"/>
        <w:spacing w:after="0"/>
        <w:ind w:left="3969" w:hanging="3969"/>
      </w:pPr>
    </w:p>
    <w:p w:rsidR="00A62165" w:rsidRDefault="00A62165" w:rsidP="00B219EA">
      <w:pPr>
        <w:autoSpaceDE w:val="0"/>
        <w:autoSpaceDN w:val="0"/>
        <w:adjustRightInd w:val="0"/>
        <w:spacing w:after="0"/>
        <w:ind w:left="3969" w:hanging="3969"/>
      </w:pPr>
    </w:p>
    <w:p w:rsidR="00B219EA" w:rsidRPr="00B219EA" w:rsidRDefault="00B219EA" w:rsidP="00B219EA">
      <w:pPr>
        <w:autoSpaceDE w:val="0"/>
        <w:autoSpaceDN w:val="0"/>
        <w:adjustRightInd w:val="0"/>
        <w:spacing w:after="0"/>
        <w:ind w:left="3969" w:hanging="3969"/>
        <w:rPr>
          <w:rFonts w:cs="Arial"/>
          <w:color w:val="004366"/>
          <w:sz w:val="32"/>
          <w:szCs w:val="32"/>
        </w:rPr>
      </w:pPr>
      <w:r w:rsidRPr="00B219EA">
        <w:rPr>
          <w:rFonts w:cs="Arial"/>
          <w:bCs/>
          <w:color w:val="004366"/>
          <w:sz w:val="32"/>
          <w:szCs w:val="32"/>
        </w:rPr>
        <w:t xml:space="preserve">Ficha de Avaliação </w:t>
      </w:r>
      <w:r w:rsidRPr="00B219EA">
        <w:rPr>
          <w:rFonts w:cs="Arial"/>
          <w:color w:val="004366"/>
          <w:sz w:val="32"/>
          <w:szCs w:val="32"/>
        </w:rPr>
        <w:t>| 10.2. A 2.ª Guerra Mundial: violência e reconstrução</w:t>
      </w:r>
    </w:p>
    <w:p w:rsidR="003722B6" w:rsidRPr="00B219EA" w:rsidRDefault="00B219EA" w:rsidP="00B219EA">
      <w:pPr>
        <w:ind w:left="2977"/>
        <w:rPr>
          <w:rFonts w:cs="Arial"/>
          <w:color w:val="004366"/>
          <w:sz w:val="32"/>
          <w:szCs w:val="32"/>
        </w:rPr>
      </w:pPr>
      <w:r w:rsidRPr="00B219EA">
        <w:rPr>
          <w:rFonts w:cs="Arial"/>
          <w:color w:val="004366"/>
          <w:sz w:val="32"/>
          <w:szCs w:val="32"/>
        </w:rPr>
        <w:t>11.1. A Guerra Fria</w:t>
      </w:r>
    </w:p>
    <w:p w:rsidR="00B564E1" w:rsidRPr="00B564E1" w:rsidRDefault="00B219EA" w:rsidP="00B564E1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 w:rsidR="00B564E1"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="00B564E1" w:rsidRPr="00B564E1">
        <w:rPr>
          <w:rFonts w:cs="Arial"/>
          <w:b/>
          <w:bCs/>
          <w:sz w:val="18"/>
          <w:szCs w:val="18"/>
        </w:rPr>
        <w:t xml:space="preserve">N.º: </w:t>
      </w:r>
      <w:r w:rsidR="00B564E1" w:rsidRPr="00B564E1">
        <w:rPr>
          <w:rFonts w:cs="Arial"/>
          <w:bCs/>
          <w:sz w:val="18"/>
          <w:szCs w:val="18"/>
        </w:rPr>
        <w:t>________</w:t>
      </w:r>
      <w:r w:rsidR="00B564E1">
        <w:rPr>
          <w:rFonts w:cs="Arial"/>
          <w:b/>
          <w:bCs/>
          <w:sz w:val="18"/>
          <w:szCs w:val="18"/>
        </w:rPr>
        <w:t xml:space="preserve"> </w:t>
      </w:r>
      <w:r w:rsidR="00B564E1" w:rsidRPr="00B564E1">
        <w:rPr>
          <w:rFonts w:cs="Arial"/>
          <w:b/>
          <w:bCs/>
          <w:sz w:val="18"/>
          <w:szCs w:val="18"/>
        </w:rPr>
        <w:t>Turma:</w:t>
      </w:r>
      <w:r w:rsidR="00B564E1">
        <w:rPr>
          <w:rFonts w:cs="Arial"/>
          <w:b/>
          <w:bCs/>
          <w:sz w:val="18"/>
          <w:szCs w:val="18"/>
        </w:rPr>
        <w:t xml:space="preserve"> </w:t>
      </w:r>
      <w:r w:rsidR="00B564E1" w:rsidRPr="00B564E1">
        <w:rPr>
          <w:rFonts w:cs="Arial"/>
          <w:bCs/>
          <w:sz w:val="18"/>
          <w:szCs w:val="18"/>
        </w:rPr>
        <w:t>_________</w:t>
      </w:r>
    </w:p>
    <w:p w:rsidR="00B219EA" w:rsidRDefault="00B564E1" w:rsidP="00B564E1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Enc. </w:t>
      </w:r>
      <w:proofErr w:type="gramStart"/>
      <w:r w:rsidRPr="00B564E1">
        <w:rPr>
          <w:rFonts w:cs="Arial"/>
          <w:b/>
          <w:bCs/>
          <w:sz w:val="18"/>
          <w:szCs w:val="18"/>
        </w:rPr>
        <w:t>de</w:t>
      </w:r>
      <w:proofErr w:type="gramEnd"/>
      <w:r w:rsidRPr="00B564E1">
        <w:rPr>
          <w:rFonts w:cs="Arial"/>
          <w:b/>
          <w:bCs/>
          <w:sz w:val="18"/>
          <w:szCs w:val="18"/>
        </w:rPr>
        <w:t xml:space="preserve">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564E1" w:rsidRPr="00B219EA" w:rsidRDefault="00B564E1" w:rsidP="00B564E1">
      <w:pPr>
        <w:autoSpaceDE w:val="0"/>
        <w:autoSpaceDN w:val="0"/>
        <w:adjustRightInd w:val="0"/>
        <w:spacing w:before="120" w:after="0"/>
        <w:rPr>
          <w:rFonts w:cs="Arial"/>
        </w:rPr>
      </w:pPr>
    </w:p>
    <w:p w:rsidR="00B219EA" w:rsidRPr="00B51636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B51636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B51636">
        <w:rPr>
          <w:rFonts w:cs="Arial"/>
          <w:color w:val="CD9A00"/>
          <w:sz w:val="34"/>
          <w:szCs w:val="34"/>
        </w:rPr>
        <w:t>– 10.2. A 2.ª Guerra Mundial: violência e reconstrução</w:t>
      </w:r>
    </w:p>
    <w:p w:rsidR="00B51636" w:rsidRPr="00B51636" w:rsidRDefault="00B51636" w:rsidP="00B5163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1. </w:t>
      </w:r>
      <w:r w:rsidRPr="00B51636">
        <w:rPr>
          <w:rFonts w:cs="Arial"/>
          <w:color w:val="000000"/>
          <w:sz w:val="21"/>
          <w:szCs w:val="21"/>
        </w:rPr>
        <w:t>Lê a fonte.</w:t>
      </w:r>
    </w:p>
    <w:p w:rsidR="00B51636" w:rsidRPr="00B51636" w:rsidRDefault="00B51636" w:rsidP="00B5163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</w:p>
    <w:p w:rsidR="00B51636" w:rsidRPr="00B51636" w:rsidRDefault="00957C6D" w:rsidP="00B51636">
      <w:pPr>
        <w:rPr>
          <w:rFonts w:cs="Arial"/>
          <w:color w:val="000000"/>
          <w:sz w:val="17"/>
          <w:szCs w:val="17"/>
        </w:rPr>
      </w:pPr>
      <w:r w:rsidRPr="00957C6D">
        <w:rPr>
          <w:rFonts w:cs="Arial"/>
          <w:b/>
          <w:bCs/>
          <w:noProof/>
          <w:color w:val="004366"/>
          <w:sz w:val="22"/>
          <w:szCs w:val="22"/>
          <w:lang w:eastAsia="pt-PT"/>
        </w:rPr>
        <w:pict>
          <v:rect id="_x0000_s1043" style="position:absolute;margin-left:-.55pt;margin-top:11.3pt;width:507.2pt;height:210.1pt;z-index:251677696" fillcolor="#ffc" stroked="f">
            <v:textbox>
              <w:txbxContent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Em outubro de 1936, uma série de protocolos – uma espécie de </w:t>
                  </w:r>
                  <w:r w:rsidRPr="00B51636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entente </w:t>
                  </w:r>
                  <w:proofErr w:type="spellStart"/>
                  <w:r w:rsidRPr="00B51636">
                    <w:rPr>
                      <w:rFonts w:cs="Arial"/>
                      <w:i/>
                      <w:iCs/>
                      <w:sz w:val="18"/>
                      <w:szCs w:val="18"/>
                    </w:rPr>
                    <w:t>cordiale</w:t>
                  </w:r>
                  <w:proofErr w:type="spellEnd"/>
                  <w:r w:rsidRPr="00B51636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entre ambos os países – foi batizada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por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>Mussolini com o nome de Eixo Roma-Berlim. Entretanto, a relação de poder dos dois países era já tal, que a Itália não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podia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ser mais que um subordinado da política alemã. Foi, todavia, a atitude da França e da Inglaterra na sua qualidade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de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garantes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da ordem de Versalhes que teve o papel decisivo. A política britânica foi relativamente simples: certas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reivindicações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alemãs, como por exemplo a </w:t>
                  </w:r>
                  <w:proofErr w:type="spellStart"/>
                  <w:r w:rsidRPr="00B51636">
                    <w:rPr>
                      <w:rFonts w:cs="Arial"/>
                      <w:sz w:val="18"/>
                      <w:szCs w:val="18"/>
                    </w:rPr>
                    <w:t>remilitarização</w:t>
                  </w:r>
                  <w:proofErr w:type="spell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da Renânia ou a união com a Áustria – embora estivessem em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contradição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com os tratados, não lhe pareciam desrazoáveis. [...] A política francesa foi mais complexa. A partir da subida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de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Hitler ao poder, certos homens de Estado franceses persuadiram-se de que, perante o renascer do perigo alemão, a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política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de segurança coletiva, estava ultrapassada. [...] Havia ainda a União Soviética, numa primeira fase privilegiou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o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lado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antifascista e empenhou-se fortemente ao lado dos republicanos espanhóis; mas, dececionada com o comportamento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das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democracias em Espanha, e convencida da fraqueza das democracias e da força de Hitler, preferiu, a partir de 1939,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aproximar-se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da Alemanha. A assinatura do </w:t>
                  </w:r>
                  <w:r w:rsidRPr="00B51636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Pacto Germano-Soviético </w:t>
                  </w:r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a 23 de agosto de 1939, cujo espírito era o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da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partilha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da Europa Oriental pelos dois contratantes, permitiu a Hitler invadir a Polónia a 1 de setembro.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>A fim de satisfazer os seus compromissos para com a Polónia, a Inglaterra e a França entraram em guerra – com grande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surpresa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de Hitler.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>Aquilo que na sua ideia não deveria passar de mais uma fase do avanço alemão na Europa tornava-se, assim, o primeiro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ato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de uma nova grande guerra europeia que em menos de dois anos se transformaria numa guerra mundial. [...]</w:t>
                  </w:r>
                </w:p>
                <w:p w:rsidR="00B51636" w:rsidRPr="00B51636" w:rsidRDefault="00B51636" w:rsidP="00B51636">
                  <w:pPr>
                    <w:jc w:val="right"/>
                    <w:rPr>
                      <w:rFonts w:cs="Arial"/>
                    </w:rPr>
                  </w:pPr>
                  <w:r w:rsidRPr="00B51636">
                    <w:rPr>
                      <w:rFonts w:cs="Arial"/>
                      <w:sz w:val="14"/>
                      <w:szCs w:val="14"/>
                    </w:rPr>
                    <w:t xml:space="preserve">Jean Carpentier e François </w:t>
                  </w:r>
                  <w:proofErr w:type="spellStart"/>
                  <w:r w:rsidRPr="00B51636">
                    <w:rPr>
                      <w:rFonts w:cs="Arial"/>
                      <w:sz w:val="14"/>
                      <w:szCs w:val="14"/>
                    </w:rPr>
                    <w:t>Lebrun</w:t>
                  </w:r>
                  <w:proofErr w:type="spellEnd"/>
                  <w:r w:rsidRPr="00B51636">
                    <w:rPr>
                      <w:rFonts w:cs="Arial"/>
                      <w:sz w:val="14"/>
                      <w:szCs w:val="14"/>
                    </w:rPr>
                    <w:t xml:space="preserve">, </w:t>
                  </w:r>
                  <w:r w:rsidRPr="00B51636">
                    <w:rPr>
                      <w:rFonts w:cs="Arial"/>
                      <w:i/>
                      <w:iCs/>
                      <w:sz w:val="14"/>
                      <w:szCs w:val="14"/>
                    </w:rPr>
                    <w:t>História da Europa</w:t>
                  </w:r>
                  <w:r w:rsidRPr="00B51636">
                    <w:rPr>
                      <w:rFonts w:cs="Arial"/>
                      <w:sz w:val="14"/>
                      <w:szCs w:val="14"/>
                    </w:rPr>
                    <w:t>, Editorial Estampa, 2002</w:t>
                  </w:r>
                </w:p>
              </w:txbxContent>
            </v:textbox>
          </v:rect>
        </w:pict>
      </w:r>
      <w:r w:rsidR="00B51636" w:rsidRPr="00B51636">
        <w:rPr>
          <w:rFonts w:cs="Arial"/>
          <w:color w:val="000000"/>
          <w:sz w:val="17"/>
          <w:szCs w:val="17"/>
        </w:rPr>
        <w:t>Fonte A</w:t>
      </w:r>
    </w:p>
    <w:p w:rsidR="00B51636" w:rsidRDefault="00B51636" w:rsidP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Default="00B51636">
      <w:pPr>
        <w:rPr>
          <w:rFonts w:cs="Arial"/>
          <w:b/>
          <w:bCs/>
          <w:color w:val="004366"/>
          <w:sz w:val="22"/>
          <w:szCs w:val="22"/>
        </w:rPr>
      </w:pP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B51636">
        <w:rPr>
          <w:rFonts w:cs="Arial"/>
          <w:color w:val="000000"/>
          <w:sz w:val="21"/>
          <w:szCs w:val="21"/>
        </w:rPr>
        <w:t>Que acontecimentos, segundo a fonte, conduziram à 2.ª Guerra Mundial?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B51636">
        <w:rPr>
          <w:rFonts w:cs="Arial"/>
          <w:color w:val="000000"/>
          <w:sz w:val="21"/>
          <w:szCs w:val="21"/>
        </w:rPr>
        <w:t>Identifica as duas grandes forças opositoras.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1.3. </w:t>
      </w:r>
      <w:r w:rsidRPr="00B51636">
        <w:rPr>
          <w:rFonts w:cs="Arial"/>
          <w:color w:val="000000"/>
          <w:sz w:val="21"/>
          <w:szCs w:val="21"/>
        </w:rPr>
        <w:t>Refere o acontecimento que marcou o início deste segundo grande conflito mundial.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B51636">
        <w:rPr>
          <w:rFonts w:cs="Arial"/>
          <w:color w:val="000000"/>
          <w:sz w:val="21"/>
          <w:szCs w:val="21"/>
        </w:rPr>
        <w:t>Ordena cronologicamente os seguintes acontecimentos.</w:t>
      </w:r>
    </w:p>
    <w:p w:rsidR="00B51636" w:rsidRPr="00B51636" w:rsidRDefault="00957C6D" w:rsidP="00B51636">
      <w:pPr>
        <w:autoSpaceDE w:val="0"/>
        <w:autoSpaceDN w:val="0"/>
        <w:adjustRightInd w:val="0"/>
        <w:spacing w:before="120" w:after="0"/>
        <w:ind w:left="851"/>
        <w:rPr>
          <w:rFonts w:cs="Arial"/>
          <w:color w:val="000000"/>
          <w:sz w:val="18"/>
          <w:szCs w:val="18"/>
        </w:rPr>
      </w:pP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9" style="position:absolute;left:0;text-align:left;margin-left:26.6pt;margin-top:92pt;width:11.35pt;height:11.35pt;z-index:251683840"/>
        </w:pict>
      </w: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8" style="position:absolute;left:0;text-align:left;margin-left:26.6pt;margin-top:73.75pt;width:11.35pt;height:11.35pt;z-index:251682816"/>
        </w:pict>
      </w: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7" style="position:absolute;left:0;text-align:left;margin-left:26.6pt;margin-top:56pt;width:11.35pt;height:11.35pt;z-index:251681792"/>
        </w:pict>
      </w: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6" style="position:absolute;left:0;text-align:left;margin-left:26.6pt;margin-top:38.8pt;width:11.35pt;height:11.35pt;z-index:251680768"/>
        </w:pict>
      </w: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5" style="position:absolute;left:0;text-align:left;margin-left:26.6pt;margin-top:20.55pt;width:11.35pt;height:11.35pt;z-index:251679744"/>
        </w:pict>
      </w:r>
      <w:r>
        <w:rPr>
          <w:rFonts w:cs="Arial"/>
          <w:noProof/>
          <w:color w:val="000000"/>
          <w:sz w:val="18"/>
          <w:szCs w:val="18"/>
          <w:lang w:eastAsia="pt-PT"/>
        </w:rPr>
        <w:pict>
          <v:rect id="_x0000_s1044" style="position:absolute;left:0;text-align:left;margin-left:26.6pt;margin-top:3.35pt;width:11.35pt;height:11.35pt;z-index:251678720"/>
        </w:pict>
      </w:r>
      <w:r w:rsidR="00B51636" w:rsidRPr="00B51636">
        <w:rPr>
          <w:rFonts w:cs="Arial"/>
          <w:color w:val="000000"/>
          <w:sz w:val="18"/>
          <w:szCs w:val="18"/>
        </w:rPr>
        <w:t>Entrada dos EUA no conflito.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851"/>
        <w:rPr>
          <w:rFonts w:cs="Arial"/>
          <w:color w:val="000000"/>
          <w:sz w:val="18"/>
          <w:szCs w:val="18"/>
        </w:rPr>
      </w:pPr>
      <w:r w:rsidRPr="00B51636">
        <w:rPr>
          <w:rFonts w:cs="Arial"/>
          <w:color w:val="000000"/>
          <w:sz w:val="18"/>
          <w:szCs w:val="18"/>
        </w:rPr>
        <w:t>Rendição do Japão.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851"/>
        <w:rPr>
          <w:rFonts w:cs="Arial"/>
          <w:color w:val="000000"/>
          <w:sz w:val="18"/>
          <w:szCs w:val="18"/>
        </w:rPr>
      </w:pPr>
      <w:r w:rsidRPr="00B51636">
        <w:rPr>
          <w:rFonts w:cs="Arial"/>
          <w:color w:val="000000"/>
          <w:sz w:val="18"/>
          <w:szCs w:val="18"/>
        </w:rPr>
        <w:t>Bombas atómicas sobre o Japão.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851"/>
        <w:rPr>
          <w:rFonts w:cs="Arial"/>
          <w:color w:val="000000"/>
          <w:sz w:val="18"/>
          <w:szCs w:val="18"/>
        </w:rPr>
      </w:pPr>
      <w:r w:rsidRPr="00B51636">
        <w:rPr>
          <w:rFonts w:cs="Arial"/>
          <w:color w:val="000000"/>
          <w:sz w:val="18"/>
          <w:szCs w:val="18"/>
        </w:rPr>
        <w:t>Dia D.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851"/>
        <w:rPr>
          <w:rFonts w:cs="Arial"/>
          <w:color w:val="000000"/>
          <w:sz w:val="18"/>
          <w:szCs w:val="18"/>
        </w:rPr>
      </w:pPr>
      <w:r w:rsidRPr="00B51636">
        <w:rPr>
          <w:rFonts w:cs="Arial"/>
          <w:color w:val="000000"/>
          <w:sz w:val="18"/>
          <w:szCs w:val="18"/>
        </w:rPr>
        <w:t>Capitulação da Alemanha.</w:t>
      </w:r>
    </w:p>
    <w:p w:rsidR="00B51636" w:rsidRDefault="00B51636" w:rsidP="00B51636">
      <w:pPr>
        <w:spacing w:before="120" w:after="0"/>
        <w:ind w:left="851"/>
        <w:rPr>
          <w:rFonts w:cs="Arial"/>
          <w:b/>
          <w:bCs/>
          <w:color w:val="004366"/>
          <w:sz w:val="22"/>
          <w:szCs w:val="22"/>
        </w:rPr>
      </w:pPr>
      <w:r w:rsidRPr="00B51636">
        <w:rPr>
          <w:rFonts w:cs="Arial"/>
          <w:color w:val="000000"/>
          <w:sz w:val="18"/>
          <w:szCs w:val="18"/>
        </w:rPr>
        <w:t xml:space="preserve">Ataque japonês a </w:t>
      </w:r>
      <w:proofErr w:type="spellStart"/>
      <w:r w:rsidRPr="00B51636">
        <w:rPr>
          <w:rFonts w:cs="Arial"/>
          <w:color w:val="000000"/>
          <w:sz w:val="18"/>
          <w:szCs w:val="18"/>
        </w:rPr>
        <w:t>Pearl</w:t>
      </w:r>
      <w:proofErr w:type="spellEnd"/>
      <w:r w:rsidRPr="00B51636">
        <w:rPr>
          <w:rFonts w:cs="Arial"/>
          <w:color w:val="000000"/>
          <w:sz w:val="18"/>
          <w:szCs w:val="18"/>
        </w:rPr>
        <w:t xml:space="preserve"> </w:t>
      </w:r>
      <w:proofErr w:type="spellStart"/>
      <w:r w:rsidRPr="00B51636">
        <w:rPr>
          <w:rFonts w:cs="Arial"/>
          <w:color w:val="000000"/>
          <w:sz w:val="18"/>
          <w:szCs w:val="18"/>
        </w:rPr>
        <w:t>Harbor</w:t>
      </w:r>
      <w:proofErr w:type="spellEnd"/>
      <w:r w:rsidRPr="00B51636">
        <w:rPr>
          <w:rFonts w:cs="Arial"/>
          <w:color w:val="000000"/>
          <w:sz w:val="18"/>
          <w:szCs w:val="18"/>
        </w:rPr>
        <w:t>.</w:t>
      </w:r>
      <w:r>
        <w:rPr>
          <w:rFonts w:cs="Arial"/>
          <w:b/>
          <w:bCs/>
          <w:color w:val="004366"/>
          <w:sz w:val="22"/>
          <w:szCs w:val="22"/>
        </w:rPr>
        <w:br w:type="page"/>
      </w:r>
    </w:p>
    <w:p w:rsidR="00B81C16" w:rsidRPr="00B81C16" w:rsidRDefault="00B81C16" w:rsidP="00B81C16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>
        <w:rPr>
          <w:rFonts w:cs="Arial"/>
          <w:b/>
          <w:bCs/>
          <w:noProof/>
          <w:color w:val="CD9A00"/>
          <w:sz w:val="34"/>
          <w:szCs w:val="34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3550920</wp:posOffset>
            </wp:positionH>
            <wp:positionV relativeFrom="paragraph">
              <wp:posOffset>-267970</wp:posOffset>
            </wp:positionV>
            <wp:extent cx="2860040" cy="2715895"/>
            <wp:effectExtent l="1905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71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C16">
        <w:rPr>
          <w:rFonts w:cs="Arial"/>
          <w:b/>
          <w:bCs/>
          <w:color w:val="CD9A00"/>
          <w:sz w:val="34"/>
          <w:szCs w:val="34"/>
        </w:rPr>
        <w:t xml:space="preserve">GRUPO II </w:t>
      </w:r>
      <w:r w:rsidRPr="00B81C16">
        <w:rPr>
          <w:rFonts w:cs="Arial"/>
          <w:color w:val="CD9A00"/>
          <w:sz w:val="34"/>
          <w:szCs w:val="34"/>
        </w:rPr>
        <w:t>– 11.1. A Guerra Fria</w:t>
      </w:r>
    </w:p>
    <w:p w:rsidR="00B219EA" w:rsidRDefault="00B81C16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330191</wp:posOffset>
            </wp:positionH>
            <wp:positionV relativeFrom="paragraph">
              <wp:posOffset>313453</wp:posOffset>
            </wp:positionV>
            <wp:extent cx="3038048" cy="1692322"/>
            <wp:effectExtent l="1905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048" cy="1692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C16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B81C16">
        <w:rPr>
          <w:rFonts w:cs="Arial"/>
          <w:color w:val="000000"/>
          <w:sz w:val="21"/>
          <w:szCs w:val="21"/>
        </w:rPr>
        <w:t>Analisa as fontes.</w:t>
      </w: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957C6D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7" style="position:absolute;margin-left:8.95pt;margin-top:7.55pt;width:239.1pt;height:45.7pt;z-index:251661312" stroked="f">
            <v:textbox style="mso-next-textbox:#_x0000_s1027">
              <w:txbxContent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7"/>
                      <w:szCs w:val="17"/>
                    </w:rPr>
                  </w:pP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 w:rsidR="00B51636">
                    <w:rPr>
                      <w:rFonts w:cs="Arial"/>
                      <w:sz w:val="17"/>
                      <w:szCs w:val="17"/>
                    </w:rPr>
                    <w:t>B</w:t>
                  </w: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 – </w:t>
                  </w:r>
                  <w:r w:rsidRPr="009D35A7">
                    <w:rPr>
                      <w:rFonts w:cs="Arial"/>
                      <w:i/>
                      <w:sz w:val="17"/>
                      <w:szCs w:val="17"/>
                    </w:rPr>
                    <w:t>Cartoon</w:t>
                  </w: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 britânico sobre a luta entre os líderes da URSS, </w:t>
                  </w:r>
                  <w:proofErr w:type="spellStart"/>
                  <w:r w:rsidRPr="00B81C16">
                    <w:rPr>
                      <w:rFonts w:cs="Arial"/>
                      <w:sz w:val="17"/>
                      <w:szCs w:val="17"/>
                    </w:rPr>
                    <w:t>Kruschev</w:t>
                  </w:r>
                  <w:proofErr w:type="spellEnd"/>
                  <w:r w:rsidRPr="00B81C16">
                    <w:rPr>
                      <w:rFonts w:cs="Arial"/>
                      <w:sz w:val="17"/>
                      <w:szCs w:val="17"/>
                    </w:rPr>
                    <w:t>, e dos EUA, Kennedy, 1962</w:t>
                  </w: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7"/>
                      <w:szCs w:val="17"/>
                    </w:rPr>
                  </w:pP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</w:rPr>
                  </w:pPr>
                  <w:r w:rsidRPr="00B81C16">
                    <w:rPr>
                      <w:rFonts w:ascii="MyriadPro-SemiboldSemiCn" w:hAnsi="MyriadPro-SemiboldSemiCn" w:cs="MyriadPro-SemiboldSemiCn"/>
                      <w:sz w:val="17"/>
                      <w:szCs w:val="17"/>
                    </w:rPr>
                    <w:t xml:space="preserve">Fonte </w:t>
                  </w:r>
                  <w:r w:rsidR="00B51636">
                    <w:rPr>
                      <w:rFonts w:ascii="MyriadPro-SemiboldSemiCn" w:hAnsi="MyriadPro-SemiboldSemiCn" w:cs="MyriadPro-SemiboldSemiCn"/>
                      <w:sz w:val="17"/>
                      <w:szCs w:val="17"/>
                    </w:rPr>
                    <w:t>D</w:t>
                  </w:r>
                </w:p>
              </w:txbxContent>
            </v:textbox>
          </v:rect>
        </w:pict>
      </w:r>
    </w:p>
    <w:p w:rsidR="00B81C16" w:rsidRDefault="00957C6D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8" style="position:absolute;margin-left:279.6pt;margin-top:6.7pt;width:199.35pt;height:19.9pt;z-index:251662336" stroked="f">
            <v:textbox style="mso-next-textbox:#_x0000_s1028">
              <w:txbxContent>
                <w:p w:rsidR="00B81C16" w:rsidRPr="00B81C16" w:rsidRDefault="00B81C16" w:rsidP="00B81C16">
                  <w:pPr>
                    <w:rPr>
                      <w:rFonts w:cs="Arial"/>
                    </w:rPr>
                  </w:pP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 w:rsidR="00B51636">
                    <w:rPr>
                      <w:rFonts w:cs="Arial"/>
                      <w:sz w:val="17"/>
                      <w:szCs w:val="17"/>
                    </w:rPr>
                    <w:t>C</w:t>
                  </w: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 – O mundo em 1960</w:t>
                  </w:r>
                </w:p>
              </w:txbxContent>
            </v:textbox>
          </v:rect>
        </w:pict>
      </w:r>
    </w:p>
    <w:p w:rsidR="00B81C16" w:rsidRDefault="00957C6D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9" style="position:absolute;margin-left:1.95pt;margin-top:5.5pt;width:507.2pt;height:101.5pt;z-index:251663360" fillcolor="#ffc" stroked="f">
            <v:textbox>
              <w:txbxContent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>A Conferência verificou que os governos dos Estados Unidos da América, da Grã-Bretanha e de alguns países da Europa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Ocidental boicotavam as relações comerciais com os países de democracia popular e a URSS, porque estes países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se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recusavam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a submeter-se às obrigações do Plano Marshall, que atingem a soberania dos Estados e os seus interesses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económicos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>. [...]</w:t>
                  </w:r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A Conferência reconhece a necessidade de criar um “Conselho de Assistência Mútua” formado por um número igual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de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representantes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de cada um dos países participantes [...]. Este Conselho assegurará a troca de experiências adquiridas </w:t>
                  </w: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no</w:t>
                  </w:r>
                  <w:proofErr w:type="gramEnd"/>
                </w:p>
                <w:p w:rsidR="00B51636" w:rsidRPr="00B51636" w:rsidRDefault="00B51636" w:rsidP="00B5163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51636">
                    <w:rPr>
                      <w:rFonts w:cs="Arial"/>
                      <w:sz w:val="18"/>
                      <w:szCs w:val="18"/>
                    </w:rPr>
                    <w:t>domínio</w:t>
                  </w:r>
                  <w:proofErr w:type="gramEnd"/>
                  <w:r w:rsidRPr="00B51636">
                    <w:rPr>
                      <w:rFonts w:cs="Arial"/>
                      <w:sz w:val="18"/>
                      <w:szCs w:val="18"/>
                    </w:rPr>
                    <w:t xml:space="preserve"> económico, assistência técnica recíproca, matérias-primas, géneros alimentícios, máquinas, etc.</w:t>
                  </w:r>
                </w:p>
                <w:p w:rsidR="00B81C16" w:rsidRPr="00B51636" w:rsidRDefault="00B51636" w:rsidP="00B51636">
                  <w:pPr>
                    <w:jc w:val="right"/>
                    <w:rPr>
                      <w:rFonts w:cs="Arial"/>
                    </w:rPr>
                  </w:pPr>
                  <w:r w:rsidRPr="00B51636">
                    <w:rPr>
                      <w:rFonts w:cs="Arial"/>
                      <w:sz w:val="14"/>
                      <w:szCs w:val="14"/>
                    </w:rPr>
                    <w:t xml:space="preserve">Agência </w:t>
                  </w:r>
                  <w:proofErr w:type="spellStart"/>
                  <w:r w:rsidRPr="00B51636">
                    <w:rPr>
                      <w:rFonts w:cs="Arial"/>
                      <w:sz w:val="14"/>
                      <w:szCs w:val="14"/>
                    </w:rPr>
                    <w:t>Tass</w:t>
                  </w:r>
                  <w:proofErr w:type="spellEnd"/>
                  <w:r w:rsidRPr="00B51636">
                    <w:rPr>
                      <w:rFonts w:cs="Arial"/>
                      <w:sz w:val="14"/>
                      <w:szCs w:val="14"/>
                    </w:rPr>
                    <w:t>, Agência de notícias do Estado na URSS, 1949</w:t>
                  </w:r>
                </w:p>
              </w:txbxContent>
            </v:textbox>
          </v:rect>
        </w:pict>
      </w: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C72AF2" w:rsidRDefault="00C72AF2" w:rsidP="00B51636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B51636">
        <w:rPr>
          <w:rFonts w:cs="Arial"/>
          <w:color w:val="000000"/>
          <w:sz w:val="21"/>
          <w:szCs w:val="21"/>
        </w:rPr>
        <w:t>Desenvolve, utilizando informação das fontes B a D, o tema: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709"/>
        <w:rPr>
          <w:rFonts w:cs="Arial"/>
          <w:b/>
          <w:bCs/>
          <w:color w:val="000000"/>
          <w:sz w:val="21"/>
          <w:szCs w:val="21"/>
        </w:rPr>
      </w:pPr>
      <w:r w:rsidRPr="00B51636">
        <w:rPr>
          <w:rFonts w:cs="Arial"/>
          <w:b/>
          <w:bCs/>
          <w:color w:val="000000"/>
          <w:sz w:val="21"/>
          <w:szCs w:val="21"/>
        </w:rPr>
        <w:t>A Europa num tempo de Guerra Fria.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709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color w:val="000000"/>
          <w:sz w:val="21"/>
          <w:szCs w:val="21"/>
        </w:rPr>
        <w:t>A tua resposta deve abordar os seguintes aspetos: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993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color w:val="000000"/>
          <w:sz w:val="21"/>
          <w:szCs w:val="21"/>
        </w:rPr>
        <w:t xml:space="preserve">• </w:t>
      </w:r>
      <w:proofErr w:type="gramStart"/>
      <w:r w:rsidRPr="00B51636">
        <w:rPr>
          <w:rFonts w:cs="Arial"/>
          <w:color w:val="000000"/>
          <w:sz w:val="21"/>
          <w:szCs w:val="21"/>
        </w:rPr>
        <w:t>consolidação</w:t>
      </w:r>
      <w:proofErr w:type="gramEnd"/>
      <w:r w:rsidRPr="00B51636">
        <w:rPr>
          <w:rFonts w:cs="Arial"/>
          <w:color w:val="000000"/>
          <w:sz w:val="21"/>
          <w:szCs w:val="21"/>
        </w:rPr>
        <w:t xml:space="preserve"> de um mundo bipolar e definição de áreas de influência;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993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color w:val="000000"/>
          <w:sz w:val="21"/>
          <w:szCs w:val="21"/>
        </w:rPr>
        <w:t xml:space="preserve">• </w:t>
      </w:r>
      <w:proofErr w:type="gramStart"/>
      <w:r w:rsidRPr="00B51636">
        <w:rPr>
          <w:rFonts w:cs="Arial"/>
          <w:color w:val="000000"/>
          <w:sz w:val="21"/>
          <w:szCs w:val="21"/>
        </w:rPr>
        <w:t>planos</w:t>
      </w:r>
      <w:proofErr w:type="gramEnd"/>
      <w:r w:rsidRPr="00B51636">
        <w:rPr>
          <w:rFonts w:cs="Arial"/>
          <w:color w:val="000000"/>
          <w:sz w:val="21"/>
          <w:szCs w:val="21"/>
        </w:rPr>
        <w:t xml:space="preserve"> de reconstrução da economia europeia;</w:t>
      </w:r>
    </w:p>
    <w:p w:rsidR="00B51636" w:rsidRPr="00B51636" w:rsidRDefault="00B51636" w:rsidP="00B51636">
      <w:pPr>
        <w:autoSpaceDE w:val="0"/>
        <w:autoSpaceDN w:val="0"/>
        <w:adjustRightInd w:val="0"/>
        <w:spacing w:before="120" w:after="0"/>
        <w:ind w:left="993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color w:val="000000"/>
          <w:sz w:val="21"/>
          <w:szCs w:val="21"/>
        </w:rPr>
        <w:t xml:space="preserve">• </w:t>
      </w:r>
      <w:proofErr w:type="gramStart"/>
      <w:r w:rsidRPr="00B51636">
        <w:rPr>
          <w:rFonts w:cs="Arial"/>
          <w:color w:val="000000"/>
          <w:sz w:val="21"/>
          <w:szCs w:val="21"/>
        </w:rPr>
        <w:t>mecanismos</w:t>
      </w:r>
      <w:proofErr w:type="gramEnd"/>
      <w:r w:rsidRPr="00B51636">
        <w:rPr>
          <w:rFonts w:cs="Arial"/>
          <w:color w:val="000000"/>
          <w:sz w:val="21"/>
          <w:szCs w:val="21"/>
        </w:rPr>
        <w:t xml:space="preserve"> de influência político-militar dos dois blocos.</w:t>
      </w:r>
    </w:p>
    <w:p w:rsidR="00B81C16" w:rsidRPr="00B51636" w:rsidRDefault="00B51636" w:rsidP="008C345E">
      <w:pPr>
        <w:spacing w:before="360" w:after="0"/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B51636">
        <w:rPr>
          <w:rFonts w:cs="Arial"/>
          <w:color w:val="000000"/>
          <w:sz w:val="21"/>
          <w:szCs w:val="21"/>
        </w:rPr>
        <w:t>Observa as fontes.</w:t>
      </w:r>
    </w:p>
    <w:p w:rsidR="00B81C16" w:rsidRPr="00B51636" w:rsidRDefault="00B51636" w:rsidP="00B81C16">
      <w:pPr>
        <w:rPr>
          <w:rFonts w:cs="Arial"/>
          <w:color w:val="000000"/>
          <w:sz w:val="21"/>
          <w:szCs w:val="21"/>
        </w:rPr>
      </w:pPr>
      <w:r w:rsidRPr="00B51636">
        <w:rPr>
          <w:rFonts w:cs="Arial"/>
          <w:noProof/>
          <w:color w:val="000000"/>
          <w:sz w:val="21"/>
          <w:szCs w:val="21"/>
          <w:lang w:eastAsia="pt-PT"/>
        </w:rPr>
        <w:drawing>
          <wp:inline distT="0" distB="0" distL="0" distR="0">
            <wp:extent cx="6749415" cy="1884757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1884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5A7" w:rsidRDefault="009D35A7" w:rsidP="009D35A7">
      <w:pPr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color w:val="000000"/>
          <w:sz w:val="17"/>
          <w:szCs w:val="17"/>
        </w:rPr>
        <w:t xml:space="preserve">   </w:t>
      </w:r>
      <w:r w:rsidRPr="00B51636">
        <w:rPr>
          <w:rFonts w:cs="Arial"/>
          <w:color w:val="000000"/>
          <w:sz w:val="17"/>
          <w:szCs w:val="17"/>
        </w:rPr>
        <w:t>Fonte</w:t>
      </w:r>
      <w:r>
        <w:rPr>
          <w:rFonts w:cs="Arial"/>
          <w:color w:val="000000"/>
          <w:sz w:val="17"/>
          <w:szCs w:val="17"/>
        </w:rPr>
        <w:t xml:space="preserve"> E – O Muro de Berlim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B51636">
        <w:rPr>
          <w:rFonts w:cs="Arial"/>
          <w:color w:val="000000"/>
          <w:sz w:val="17"/>
          <w:szCs w:val="17"/>
        </w:rPr>
        <w:t>Fonte</w:t>
      </w:r>
      <w:r>
        <w:rPr>
          <w:rFonts w:cs="Arial"/>
          <w:color w:val="000000"/>
          <w:sz w:val="17"/>
          <w:szCs w:val="17"/>
        </w:rPr>
        <w:t xml:space="preserve"> F</w:t>
      </w:r>
      <w:bookmarkStart w:id="0" w:name="_GoBack"/>
      <w:bookmarkEnd w:id="0"/>
      <w:r>
        <w:rPr>
          <w:rFonts w:cs="Arial"/>
          <w:color w:val="000000"/>
          <w:sz w:val="17"/>
          <w:szCs w:val="17"/>
        </w:rPr>
        <w:t xml:space="preserve"> – Manifestações contra a Guerra do Vietname</w:t>
      </w:r>
    </w:p>
    <w:p w:rsidR="00B51636" w:rsidRDefault="00B51636" w:rsidP="00B81C16">
      <w:pPr>
        <w:rPr>
          <w:rFonts w:cs="Arial"/>
          <w:color w:val="000000"/>
          <w:sz w:val="21"/>
          <w:szCs w:val="21"/>
        </w:rPr>
      </w:pPr>
      <w:r w:rsidRPr="00B51636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B51636">
        <w:rPr>
          <w:rFonts w:cs="Arial"/>
          <w:color w:val="000000"/>
          <w:sz w:val="21"/>
          <w:szCs w:val="21"/>
        </w:rPr>
        <w:t>Apresenta um dos conflitos que marcaram a Guerra Fria.</w:t>
      </w:r>
    </w:p>
    <w:p w:rsidR="008C345E" w:rsidRPr="00B51636" w:rsidRDefault="008C345E" w:rsidP="00B81C16">
      <w:pPr>
        <w:rPr>
          <w:rFonts w:cs="Arial"/>
          <w:color w:val="000000"/>
          <w:sz w:val="21"/>
          <w:szCs w:val="21"/>
        </w:rPr>
      </w:pPr>
      <w:r w:rsidRPr="008C345E"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5093259</wp:posOffset>
            </wp:positionH>
            <wp:positionV relativeFrom="paragraph">
              <wp:posOffset>348549</wp:posOffset>
            </wp:positionV>
            <wp:extent cx="1441100" cy="559558"/>
            <wp:effectExtent l="19050" t="0" r="6985" b="0"/>
            <wp:wrapSquare wrapText="bothSides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C345E" w:rsidRPr="00B51636" w:rsidSect="00B219EA">
      <w:footerReference w:type="default" r:id="rId10"/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C69" w:rsidRDefault="00A05C69" w:rsidP="00D811C8">
      <w:pPr>
        <w:spacing w:after="0" w:line="240" w:lineRule="auto"/>
      </w:pPr>
      <w:r>
        <w:separator/>
      </w:r>
    </w:p>
  </w:endnote>
  <w:endnote w:type="continuationSeparator" w:id="0">
    <w:p w:rsidR="00A05C69" w:rsidRDefault="00A05C69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SemiboldSemiC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65" w:rsidRDefault="00A62165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C69" w:rsidRDefault="00A05C69" w:rsidP="00D811C8">
      <w:pPr>
        <w:spacing w:after="0" w:line="240" w:lineRule="auto"/>
      </w:pPr>
      <w:r>
        <w:separator/>
      </w:r>
    </w:p>
  </w:footnote>
  <w:footnote w:type="continuationSeparator" w:id="0">
    <w:p w:rsidR="00A05C69" w:rsidRDefault="00A05C69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4338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193006"/>
    <w:rsid w:val="00015835"/>
    <w:rsid w:val="00023A91"/>
    <w:rsid w:val="00071385"/>
    <w:rsid w:val="00193006"/>
    <w:rsid w:val="001E563A"/>
    <w:rsid w:val="001F4A68"/>
    <w:rsid w:val="002161DE"/>
    <w:rsid w:val="003722B6"/>
    <w:rsid w:val="003E1B03"/>
    <w:rsid w:val="004371BE"/>
    <w:rsid w:val="00480FEB"/>
    <w:rsid w:val="004C4378"/>
    <w:rsid w:val="00592C92"/>
    <w:rsid w:val="005F2F45"/>
    <w:rsid w:val="006301E0"/>
    <w:rsid w:val="00656349"/>
    <w:rsid w:val="00685E97"/>
    <w:rsid w:val="00692464"/>
    <w:rsid w:val="00692B2B"/>
    <w:rsid w:val="006C2E90"/>
    <w:rsid w:val="006F7DC3"/>
    <w:rsid w:val="00706292"/>
    <w:rsid w:val="00765A70"/>
    <w:rsid w:val="007D28D3"/>
    <w:rsid w:val="00855C11"/>
    <w:rsid w:val="008C345E"/>
    <w:rsid w:val="009510BC"/>
    <w:rsid w:val="00957C6D"/>
    <w:rsid w:val="009905B4"/>
    <w:rsid w:val="009D35A7"/>
    <w:rsid w:val="009F1B16"/>
    <w:rsid w:val="00A05C69"/>
    <w:rsid w:val="00A50DB1"/>
    <w:rsid w:val="00A62165"/>
    <w:rsid w:val="00A6571F"/>
    <w:rsid w:val="00AC4D1E"/>
    <w:rsid w:val="00B13A39"/>
    <w:rsid w:val="00B13AC3"/>
    <w:rsid w:val="00B13DD1"/>
    <w:rsid w:val="00B165B4"/>
    <w:rsid w:val="00B219EA"/>
    <w:rsid w:val="00B51636"/>
    <w:rsid w:val="00B564E1"/>
    <w:rsid w:val="00B81C16"/>
    <w:rsid w:val="00BA3545"/>
    <w:rsid w:val="00C2460F"/>
    <w:rsid w:val="00C72AF2"/>
    <w:rsid w:val="00C77ACB"/>
    <w:rsid w:val="00CA5CB6"/>
    <w:rsid w:val="00D14502"/>
    <w:rsid w:val="00D20E3D"/>
    <w:rsid w:val="00D256F5"/>
    <w:rsid w:val="00D45168"/>
    <w:rsid w:val="00D811C8"/>
    <w:rsid w:val="00DB6556"/>
    <w:rsid w:val="00E07A01"/>
    <w:rsid w:val="00E42C1C"/>
    <w:rsid w:val="00E85871"/>
    <w:rsid w:val="00EC3E24"/>
    <w:rsid w:val="00F5270C"/>
    <w:rsid w:val="00F74984"/>
    <w:rsid w:val="00F832F2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1173</Characters>
  <Application>Microsoft Office Word</Application>
  <DocSecurity>0</DocSecurity>
  <Lines>43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7</cp:revision>
  <dcterms:created xsi:type="dcterms:W3CDTF">2015-02-25T22:57:00Z</dcterms:created>
  <dcterms:modified xsi:type="dcterms:W3CDTF">2016-02-29T14:32:00Z</dcterms:modified>
</cp:coreProperties>
</file>