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EA" w:rsidRPr="00016169" w:rsidRDefault="00D10729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812B5D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5</w:t>
                  </w: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A</w:t>
                  </w:r>
                </w:p>
              </w:txbxContent>
            </v:textbox>
          </v:roundrect>
        </w:pict>
      </w:r>
      <w:r w:rsidR="00016169" w:rsidRPr="00016169">
        <w:rPr>
          <w:rFonts w:cs="Arial"/>
          <w:color w:val="E6E6C3"/>
          <w:sz w:val="72"/>
          <w:szCs w:val="72"/>
        </w:rPr>
        <w:t>Correção</w:t>
      </w:r>
    </w:p>
    <w:p w:rsidR="003722B6" w:rsidRPr="00016169" w:rsidRDefault="00016169" w:rsidP="00016169">
      <w:pPr>
        <w:autoSpaceDE w:val="0"/>
        <w:autoSpaceDN w:val="0"/>
        <w:adjustRightInd w:val="0"/>
        <w:spacing w:after="0"/>
        <w:rPr>
          <w:rFonts w:cs="Arial"/>
          <w:color w:val="004366"/>
          <w:sz w:val="32"/>
          <w:szCs w:val="32"/>
        </w:rPr>
      </w:pPr>
      <w:r w:rsidRPr="00016169">
        <w:rPr>
          <w:rFonts w:cs="Arial"/>
          <w:b/>
          <w:bCs/>
          <w:color w:val="004366"/>
          <w:sz w:val="32"/>
          <w:szCs w:val="32"/>
        </w:rPr>
        <w:t>Critérios específicos de correção</w:t>
      </w:r>
      <w:r w:rsidR="00B219EA" w:rsidRPr="00016169">
        <w:rPr>
          <w:rFonts w:cs="Arial"/>
          <w:color w:val="004366"/>
          <w:sz w:val="32"/>
          <w:szCs w:val="32"/>
        </w:rPr>
        <w:t>|11.1. A Guerra Fria</w:t>
      </w:r>
    </w:p>
    <w:p w:rsidR="00B219EA" w:rsidRPr="00B219EA" w:rsidRDefault="00B219EA" w:rsidP="00B219EA">
      <w:pPr>
        <w:rPr>
          <w:rFonts w:cs="Arial"/>
        </w:rPr>
      </w:pPr>
    </w:p>
    <w:p w:rsidR="00016169" w:rsidRDefault="00016169" w:rsidP="00016169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CD9A00"/>
          <w:sz w:val="28"/>
          <w:szCs w:val="28"/>
        </w:rPr>
        <w:sectPr w:rsidR="00016169" w:rsidSect="00B219EA">
          <w:footerReference w:type="default" r:id="rId6"/>
          <w:type w:val="continuous"/>
          <w:pgSz w:w="11906" w:h="16838"/>
          <w:pgMar w:top="851" w:right="284" w:bottom="1417" w:left="993" w:header="708" w:footer="708" w:gutter="0"/>
          <w:pgNumType w:start="105"/>
          <w:cols w:space="708"/>
          <w:docGrid w:linePitch="360"/>
        </w:sectPr>
      </w:pPr>
    </w:p>
    <w:p w:rsidR="00016169" w:rsidRPr="00016169" w:rsidRDefault="00016169" w:rsidP="00016169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CD9A00"/>
          <w:sz w:val="28"/>
          <w:szCs w:val="28"/>
        </w:rPr>
      </w:pPr>
      <w:r w:rsidRPr="00016169">
        <w:rPr>
          <w:rFonts w:cs="Arial"/>
          <w:b/>
          <w:bCs/>
          <w:color w:val="CD9A00"/>
          <w:sz w:val="28"/>
          <w:szCs w:val="28"/>
        </w:rPr>
        <w:lastRenderedPageBreak/>
        <w:t>GRUPO I</w:t>
      </w:r>
    </w:p>
    <w:p w:rsidR="00812B5D" w:rsidRPr="00812B5D" w:rsidRDefault="00812B5D" w:rsidP="00812B5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b/>
          <w:bCs/>
          <w:color w:val="004366"/>
          <w:sz w:val="21"/>
          <w:szCs w:val="21"/>
        </w:rPr>
        <w:t xml:space="preserve">1.1. </w:t>
      </w:r>
      <w:r w:rsidRPr="00812B5D">
        <w:rPr>
          <w:rFonts w:cs="Arial"/>
          <w:color w:val="000000"/>
          <w:sz w:val="21"/>
          <w:szCs w:val="21"/>
        </w:rPr>
        <w:t>O Movimento Nacional de Unidade Antifascista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(MUNAF) congregou as várias tendências da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oposição ao regime, organizou-se aproveitando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os condicionalismos externos desfavoráveis ao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Estado Novo e o clima interno de contestação.</w:t>
      </w:r>
    </w:p>
    <w:p w:rsidR="00812B5D" w:rsidRPr="00812B5D" w:rsidRDefault="00812B5D" w:rsidP="00812B5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b/>
          <w:bCs/>
          <w:color w:val="004366"/>
          <w:sz w:val="21"/>
          <w:szCs w:val="21"/>
        </w:rPr>
        <w:t xml:space="preserve">1.2. </w:t>
      </w:r>
      <w:r w:rsidRPr="00812B5D">
        <w:rPr>
          <w:rFonts w:cs="Arial"/>
          <w:color w:val="000000"/>
          <w:sz w:val="21"/>
          <w:szCs w:val="21"/>
        </w:rPr>
        <w:t>Após a vitória dos Aliados na 2.ª Guerra Mundial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e face às pressões políticas externas após 1945,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sobretudo da Inglaterra e dos Estados Unidos,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Salazar simulou uma certa abertura do regime: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aligeirou a censura; autorizou manifestações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populares; libertou presos políticos e prometeu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eleições livres.</w:t>
      </w:r>
    </w:p>
    <w:p w:rsidR="00812B5D" w:rsidRPr="00812B5D" w:rsidRDefault="00812B5D" w:rsidP="00812B5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b/>
          <w:bCs/>
          <w:color w:val="004366"/>
          <w:sz w:val="21"/>
          <w:szCs w:val="21"/>
        </w:rPr>
        <w:t xml:space="preserve">2. </w:t>
      </w:r>
      <w:r w:rsidRPr="00812B5D">
        <w:rPr>
          <w:rFonts w:cs="Arial"/>
          <w:color w:val="000000"/>
          <w:sz w:val="21"/>
          <w:szCs w:val="21"/>
        </w:rPr>
        <w:t>(A) (1)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(B) (4)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(C) (2)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(D) (3)</w:t>
      </w:r>
    </w:p>
    <w:p w:rsidR="00812B5D" w:rsidRPr="00812B5D" w:rsidRDefault="00812B5D" w:rsidP="00812B5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b/>
          <w:bCs/>
          <w:color w:val="004366"/>
          <w:sz w:val="21"/>
          <w:szCs w:val="21"/>
        </w:rPr>
        <w:t xml:space="preserve">3.1. </w:t>
      </w:r>
      <w:r w:rsidRPr="00812B5D">
        <w:rPr>
          <w:rFonts w:cs="Arial"/>
          <w:color w:val="000000"/>
          <w:sz w:val="21"/>
          <w:szCs w:val="21"/>
        </w:rPr>
        <w:t>O regime lançou um forte ataque contra a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oposição, através de detenções e perseguições.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Humberto Delgado foi assassinado em Espanha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pela PIDE em 1965.</w:t>
      </w:r>
    </w:p>
    <w:p w:rsidR="00812B5D" w:rsidRPr="00812B5D" w:rsidRDefault="00812B5D" w:rsidP="00812B5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b/>
          <w:bCs/>
          <w:color w:val="004366"/>
          <w:sz w:val="21"/>
          <w:szCs w:val="21"/>
        </w:rPr>
        <w:t xml:space="preserve">4.1. </w:t>
      </w:r>
      <w:r w:rsidRPr="00812B5D">
        <w:rPr>
          <w:rFonts w:cs="Arial"/>
          <w:color w:val="000000"/>
          <w:sz w:val="21"/>
          <w:szCs w:val="21"/>
        </w:rPr>
        <w:t>A posição da ONU contribuiu significativamente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para o processo de descolonização, pois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apresentou a defesa do direito de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autodeterminação dos povos, defendendo a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lastRenderedPageBreak/>
        <w:t>igualdade de direitos.</w:t>
      </w:r>
    </w:p>
    <w:p w:rsidR="00812B5D" w:rsidRPr="00812B5D" w:rsidRDefault="00812B5D" w:rsidP="00812B5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b/>
          <w:bCs/>
          <w:color w:val="004366"/>
          <w:sz w:val="21"/>
          <w:szCs w:val="21"/>
        </w:rPr>
        <w:t xml:space="preserve">4.2. </w:t>
      </w:r>
      <w:r w:rsidRPr="00812B5D">
        <w:rPr>
          <w:rFonts w:cs="Arial"/>
          <w:color w:val="000000"/>
          <w:sz w:val="21"/>
          <w:szCs w:val="21"/>
        </w:rPr>
        <w:t>Contrariamente às pressões da ONU, o regime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de Salazar opôs-se à descolonização, afirmando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que não possuía colónias mas sim províncias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ultramarinas, cujos habitantes eram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portugueses. Portugal assumia-se como um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país multirracial e multicontinental. Esta ideia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foi divulgada em várias ações de propaganda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em Portugal e nas colónias: “A posição de Lisboa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é clara e irredutível: o Império é parte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integrante de Portugal e não se deve fomentar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nenhum tipo de autonomia [...] “.</w:t>
      </w:r>
    </w:p>
    <w:p w:rsidR="00812B5D" w:rsidRPr="00812B5D" w:rsidRDefault="00812B5D" w:rsidP="00812B5D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b/>
          <w:bCs/>
          <w:color w:val="004366"/>
          <w:sz w:val="21"/>
          <w:szCs w:val="21"/>
        </w:rPr>
        <w:t xml:space="preserve">5.1. </w:t>
      </w:r>
      <w:r w:rsidRPr="00812B5D">
        <w:rPr>
          <w:rFonts w:cs="Arial"/>
          <w:color w:val="000000"/>
          <w:sz w:val="21"/>
          <w:szCs w:val="21"/>
        </w:rPr>
        <w:t>A recusa da descolonização por Salazar levou à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formação de movimentos de libertação em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todas as colónias portuguesas. Em inícios da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década de 1960, estes movimentos iniciaram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lutas armadas. Portugal respondeu enviando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tropas para lutar contra os guerrilheiros,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iniciaram-se então as guerras coloniais (fonte E).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Esta guerra aumentou o isolamento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internacional do regime, o descontentamento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da população e a ruína da economia.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O arrastamento destas guerras e o elevado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número de vítimas (fonte F) contribuíram</w:t>
      </w:r>
    </w:p>
    <w:p w:rsidR="00812B5D" w:rsidRPr="00812B5D" w:rsidRDefault="00812B5D" w:rsidP="00812B5D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812B5D">
        <w:rPr>
          <w:rFonts w:cs="Arial"/>
          <w:color w:val="000000"/>
          <w:sz w:val="21"/>
          <w:szCs w:val="21"/>
        </w:rPr>
        <w:t>decisivamente para a queda do regime em</w:t>
      </w:r>
    </w:p>
    <w:p w:rsidR="00016169" w:rsidRPr="00812B5D" w:rsidRDefault="00812B5D" w:rsidP="00812B5D">
      <w:pPr>
        <w:rPr>
          <w:rFonts w:cs="Arial"/>
          <w:color w:val="000000"/>
          <w:sz w:val="21"/>
          <w:szCs w:val="21"/>
        </w:rPr>
        <w:sectPr w:rsidR="00016169" w:rsidRPr="00812B5D" w:rsidSect="00016169">
          <w:type w:val="continuous"/>
          <w:pgSz w:w="11906" w:h="16838"/>
          <w:pgMar w:top="851" w:right="284" w:bottom="1417" w:left="993" w:header="708" w:footer="708" w:gutter="0"/>
          <w:pgNumType w:start="105"/>
          <w:cols w:num="2" w:space="708"/>
          <w:docGrid w:linePitch="360"/>
        </w:sectPr>
      </w:pPr>
      <w:r w:rsidRPr="00812B5D">
        <w:rPr>
          <w:rFonts w:cs="Arial"/>
          <w:color w:val="000000"/>
          <w:sz w:val="21"/>
          <w:szCs w:val="21"/>
        </w:rPr>
        <w:t>1974.</w:t>
      </w:r>
    </w:p>
    <w:p w:rsidR="00B81C16" w:rsidRPr="00B81C16" w:rsidRDefault="00B81C16" w:rsidP="00B81C16">
      <w:pPr>
        <w:rPr>
          <w:rFonts w:cs="Arial"/>
          <w:color w:val="000000"/>
          <w:sz w:val="21"/>
          <w:szCs w:val="21"/>
        </w:rPr>
      </w:pPr>
    </w:p>
    <w:sectPr w:rsidR="00B81C16" w:rsidRPr="00B81C16" w:rsidSect="00B219EA">
      <w:type w:val="continuous"/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AA5" w:rsidRDefault="002A3AA5" w:rsidP="00D811C8">
      <w:pPr>
        <w:spacing w:after="0" w:line="240" w:lineRule="auto"/>
      </w:pPr>
      <w:r>
        <w:separator/>
      </w:r>
    </w:p>
  </w:endnote>
  <w:endnote w:type="continuationSeparator" w:id="0">
    <w:p w:rsidR="002A3AA5" w:rsidRDefault="002A3AA5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4A1" w:rsidRDefault="002F34A1">
    <w:pPr>
      <w:pStyle w:val="Rodap"/>
    </w:pPr>
    <w:r w:rsidRPr="00E83966"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AA5" w:rsidRDefault="002A3AA5" w:rsidP="00D811C8">
      <w:pPr>
        <w:spacing w:after="0" w:line="240" w:lineRule="auto"/>
      </w:pPr>
      <w:r>
        <w:separator/>
      </w:r>
    </w:p>
  </w:footnote>
  <w:footnote w:type="continuationSeparator" w:id="0">
    <w:p w:rsidR="002A3AA5" w:rsidRDefault="002A3AA5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93006"/>
    <w:rsid w:val="00016169"/>
    <w:rsid w:val="00023A91"/>
    <w:rsid w:val="00037C5B"/>
    <w:rsid w:val="00193006"/>
    <w:rsid w:val="001A48C5"/>
    <w:rsid w:val="001E563A"/>
    <w:rsid w:val="001F4A68"/>
    <w:rsid w:val="002161DE"/>
    <w:rsid w:val="002A3AA5"/>
    <w:rsid w:val="002F34A1"/>
    <w:rsid w:val="003722B6"/>
    <w:rsid w:val="003E1B03"/>
    <w:rsid w:val="004371BE"/>
    <w:rsid w:val="00480FEB"/>
    <w:rsid w:val="004A0D82"/>
    <w:rsid w:val="004C4378"/>
    <w:rsid w:val="00592C92"/>
    <w:rsid w:val="005F2F45"/>
    <w:rsid w:val="006301E0"/>
    <w:rsid w:val="00656349"/>
    <w:rsid w:val="00692464"/>
    <w:rsid w:val="00692B2B"/>
    <w:rsid w:val="006C2E90"/>
    <w:rsid w:val="006F7DC3"/>
    <w:rsid w:val="00706292"/>
    <w:rsid w:val="00765A70"/>
    <w:rsid w:val="007D28D3"/>
    <w:rsid w:val="00812B5D"/>
    <w:rsid w:val="00855C11"/>
    <w:rsid w:val="00903599"/>
    <w:rsid w:val="009510BC"/>
    <w:rsid w:val="009905B4"/>
    <w:rsid w:val="009F1B16"/>
    <w:rsid w:val="00A6571F"/>
    <w:rsid w:val="00AC4D1E"/>
    <w:rsid w:val="00B02D0C"/>
    <w:rsid w:val="00B13A39"/>
    <w:rsid w:val="00B13AC3"/>
    <w:rsid w:val="00B13DD1"/>
    <w:rsid w:val="00B165B4"/>
    <w:rsid w:val="00B219EA"/>
    <w:rsid w:val="00B81C16"/>
    <w:rsid w:val="00BA3545"/>
    <w:rsid w:val="00BE7642"/>
    <w:rsid w:val="00C77ACB"/>
    <w:rsid w:val="00CA5CB6"/>
    <w:rsid w:val="00D10729"/>
    <w:rsid w:val="00D14502"/>
    <w:rsid w:val="00D20E3D"/>
    <w:rsid w:val="00D256F5"/>
    <w:rsid w:val="00D45168"/>
    <w:rsid w:val="00D811C8"/>
    <w:rsid w:val="00DB6556"/>
    <w:rsid w:val="00E42C1C"/>
    <w:rsid w:val="00E85871"/>
    <w:rsid w:val="00EC3E24"/>
    <w:rsid w:val="00F5270C"/>
    <w:rsid w:val="00F74984"/>
    <w:rsid w:val="00F832F2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arcte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5</cp:revision>
  <dcterms:created xsi:type="dcterms:W3CDTF">2015-03-01T23:21:00Z</dcterms:created>
  <dcterms:modified xsi:type="dcterms:W3CDTF">2016-02-29T14:46:00Z</dcterms:modified>
</cp:coreProperties>
</file>