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body>
    <w:p w14:paraId="4BE0AA0A" w14:textId="77777777" w:rsidR="00B219EA" w:rsidRPr="00016169" w:rsidRDefault="008A0CE3" w:rsidP="00B219EA">
      <w:pPr>
        <w:autoSpaceDE w:val="0"/>
        <w:autoSpaceDN w:val="0"/>
        <w:adjustRightInd w:val="0"/>
        <w:spacing w:after="0" w:line="240" w:lineRule="auto"/>
        <w:rPr>
          <w:rFonts w:cs="Arial"/>
          <w:color w:val="E6E6C3"/>
          <w:sz w:val="72"/>
          <w:szCs w:val="72"/>
        </w:rPr>
      </w:pPr>
      <w:r>
        <w:rPr>
          <w:rFonts w:cs="Arial"/>
          <w:noProof/>
          <w:color w:val="E6E6C3"/>
          <w:sz w:val="72"/>
          <w:szCs w:val="72"/>
          <w:lang w:eastAsia="pt-PT"/>
        </w:rPr>
        <w:pict w14:anchorId="70F3C8B8">
          <v:roundrect id="_x0000_s1026" style="position:absolute;margin-left:425.85pt;margin-top:18.15pt;width:77.95pt;height:24.2pt;z-index:251658240" arcsize="10923f" fillcolor="#4f81bd [3204]" stroked="f">
            <v:textbox>
              <w:txbxContent>
                <w:p w14:paraId="5ADE904D" w14:textId="77777777" w:rsidR="008A0CE3" w:rsidRPr="00B219EA" w:rsidRDefault="008A0CE3" w:rsidP="00B219EA">
                  <w:pPr>
                    <w:spacing w:after="0" w:line="240" w:lineRule="auto"/>
                    <w:rPr>
                      <w:rFonts w:cs="Arial"/>
                      <w:sz w:val="28"/>
                      <w:szCs w:val="28"/>
                    </w:rPr>
                  </w:pPr>
                  <w:r w:rsidRPr="00B219EA"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 xml:space="preserve">Ficha </w:t>
                  </w:r>
                  <w:r>
                    <w:rPr>
                      <w:rFonts w:cs="Arial"/>
                      <w:b/>
                      <w:bCs/>
                      <w:color w:val="FFFFFF"/>
                      <w:sz w:val="28"/>
                      <w:szCs w:val="28"/>
                    </w:rPr>
                    <w:t>6B</w:t>
                  </w:r>
                </w:p>
              </w:txbxContent>
            </v:textbox>
          </v:roundrect>
        </w:pict>
      </w:r>
      <w:r w:rsidR="00016169" w:rsidRPr="00016169">
        <w:rPr>
          <w:rFonts w:cs="Arial"/>
          <w:color w:val="E6E6C3"/>
          <w:sz w:val="72"/>
          <w:szCs w:val="72"/>
        </w:rPr>
        <w:t>Correção</w:t>
      </w:r>
    </w:p>
    <w:p w14:paraId="04E824C4" w14:textId="77777777" w:rsidR="00C85AED" w:rsidRPr="00C85AED" w:rsidRDefault="00016169" w:rsidP="00C85AED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016169">
        <w:rPr>
          <w:rFonts w:cs="Arial"/>
          <w:b/>
          <w:bCs/>
          <w:color w:val="004366"/>
          <w:sz w:val="32"/>
          <w:szCs w:val="32"/>
        </w:rPr>
        <w:t>Critérios específicos de correção</w:t>
      </w:r>
      <w:r w:rsidR="00B219EA" w:rsidRPr="00016169">
        <w:rPr>
          <w:rFonts w:cs="Arial"/>
          <w:color w:val="004366"/>
          <w:sz w:val="32"/>
          <w:szCs w:val="32"/>
        </w:rPr>
        <w:t>|1</w:t>
      </w:r>
      <w:r w:rsidR="00C85AED" w:rsidRPr="00C85AED">
        <w:rPr>
          <w:rFonts w:cs="Arial"/>
          <w:color w:val="004366"/>
          <w:sz w:val="32"/>
          <w:szCs w:val="32"/>
        </w:rPr>
        <w:t>2.1. Estabilidade e instabilidade num</w:t>
      </w:r>
    </w:p>
    <w:p w14:paraId="58D73297" w14:textId="77777777" w:rsidR="003722B6" w:rsidRPr="00016169" w:rsidRDefault="00C85AED" w:rsidP="00C85AED">
      <w:pPr>
        <w:autoSpaceDE w:val="0"/>
        <w:autoSpaceDN w:val="0"/>
        <w:adjustRightInd w:val="0"/>
        <w:spacing w:after="0"/>
        <w:rPr>
          <w:rFonts w:cs="Arial"/>
          <w:color w:val="004366"/>
          <w:sz w:val="32"/>
          <w:szCs w:val="32"/>
        </w:rPr>
      </w:pPr>
      <w:r w:rsidRPr="00C85AED">
        <w:rPr>
          <w:rFonts w:cs="Arial"/>
          <w:color w:val="004366"/>
          <w:sz w:val="32"/>
          <w:szCs w:val="32"/>
        </w:rPr>
        <w:t>mundo unipolar</w:t>
      </w:r>
    </w:p>
    <w:p w14:paraId="52BCBE52" w14:textId="77777777" w:rsidR="00B219EA" w:rsidRPr="00B219EA" w:rsidRDefault="00B219EA" w:rsidP="00B219EA">
      <w:pPr>
        <w:rPr>
          <w:rFonts w:cs="Arial"/>
        </w:rPr>
      </w:pPr>
    </w:p>
    <w:p w14:paraId="2DDE261C" w14:textId="77777777" w:rsidR="00016169" w:rsidRDefault="00016169" w:rsidP="00016169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CD9A00"/>
          <w:sz w:val="28"/>
          <w:szCs w:val="28"/>
        </w:rPr>
        <w:sectPr w:rsidR="00016169" w:rsidSect="00B219EA">
          <w:type w:val="continuous"/>
          <w:pgSz w:w="11906" w:h="16838"/>
          <w:pgMar w:top="851" w:right="284" w:bottom="1417" w:left="993" w:header="708" w:footer="708" w:gutter="0"/>
          <w:pgNumType w:start="105"/>
          <w:cols w:space="708"/>
          <w:docGrid w:linePitch="360"/>
        </w:sectPr>
      </w:pPr>
    </w:p>
    <w:p w14:paraId="3E68BD3D" w14:textId="77777777" w:rsidR="00016169" w:rsidRPr="00016169" w:rsidRDefault="00016169" w:rsidP="008A0CE3">
      <w:pPr>
        <w:autoSpaceDE w:val="0"/>
        <w:autoSpaceDN w:val="0"/>
        <w:adjustRightInd w:val="0"/>
        <w:spacing w:after="0"/>
        <w:ind w:firstLine="708"/>
        <w:jc w:val="center"/>
        <w:rPr>
          <w:rFonts w:cs="Arial"/>
          <w:b/>
          <w:bCs/>
          <w:color w:val="CD9A00"/>
          <w:sz w:val="28"/>
          <w:szCs w:val="28"/>
        </w:rPr>
      </w:pPr>
      <w:r w:rsidRPr="00016169">
        <w:rPr>
          <w:rFonts w:cs="Arial"/>
          <w:b/>
          <w:bCs/>
          <w:color w:val="CD9A00"/>
          <w:sz w:val="28"/>
          <w:szCs w:val="28"/>
        </w:rPr>
        <w:lastRenderedPageBreak/>
        <w:t>GRUPO I</w:t>
      </w:r>
    </w:p>
    <w:p w14:paraId="5330A86C" w14:textId="77777777" w:rsidR="00E55FC4" w:rsidRDefault="00E55FC4" w:rsidP="00E55FC4">
      <w:pPr>
        <w:autoSpaceDE w:val="0"/>
        <w:autoSpaceDN w:val="0"/>
        <w:adjustRightInd w:val="0"/>
        <w:spacing w:after="0" w:line="240" w:lineRule="auto"/>
        <w:rPr>
          <w:rFonts w:ascii="VAGRoundedStd-Bold" w:hAnsi="VAGRoundedStd-Bold" w:cs="VAGRoundedStd-Bold"/>
          <w:b/>
          <w:bCs/>
          <w:color w:val="004366"/>
          <w:sz w:val="21"/>
          <w:szCs w:val="21"/>
        </w:rPr>
        <w:sectPr w:rsidR="00E55FC4" w:rsidSect="00E55FC4">
          <w:type w:val="continuous"/>
          <w:pgSz w:w="11906" w:h="16838"/>
          <w:pgMar w:top="851" w:right="284" w:bottom="1417" w:left="993" w:header="708" w:footer="708" w:gutter="0"/>
          <w:pgNumType w:start="105"/>
          <w:cols w:num="2" w:space="708"/>
          <w:docGrid w:linePitch="360"/>
        </w:sectPr>
      </w:pPr>
    </w:p>
    <w:p w14:paraId="0CBA1A38" w14:textId="77777777" w:rsidR="003E0E93" w:rsidRPr="003E0E93" w:rsidRDefault="003E0E93" w:rsidP="003E0E93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lastRenderedPageBreak/>
        <w:t xml:space="preserve">1.1. a) </w:t>
      </w:r>
      <w:r w:rsidRPr="003E0E93">
        <w:rPr>
          <w:rFonts w:cs="Arial"/>
          <w:color w:val="000000"/>
          <w:sz w:val="21"/>
          <w:szCs w:val="21"/>
        </w:rPr>
        <w:t>os EUA.</w:t>
      </w:r>
    </w:p>
    <w:p w14:paraId="5A8C87CC" w14:textId="77777777" w:rsidR="003E0E93" w:rsidRPr="003E0E93" w:rsidRDefault="003E0E93" w:rsidP="003E0E93">
      <w:pPr>
        <w:autoSpaceDE w:val="0"/>
        <w:autoSpaceDN w:val="0"/>
        <w:adjustRightInd w:val="0"/>
        <w:spacing w:after="0"/>
        <w:ind w:left="426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t xml:space="preserve">b) </w:t>
      </w:r>
      <w:r w:rsidRPr="003E0E93">
        <w:rPr>
          <w:rFonts w:cs="Arial"/>
          <w:color w:val="000000"/>
          <w:sz w:val="21"/>
          <w:szCs w:val="21"/>
        </w:rPr>
        <w:t>atividade financeira de empréstimos e</w:t>
      </w:r>
      <w:r>
        <w:rPr>
          <w:rFonts w:cs="Arial"/>
          <w:color w:val="000000"/>
          <w:sz w:val="21"/>
          <w:szCs w:val="21"/>
        </w:rPr>
        <w:t xml:space="preserve"> </w:t>
      </w:r>
      <w:r w:rsidRPr="003E0E93">
        <w:rPr>
          <w:rFonts w:cs="Arial"/>
          <w:color w:val="000000"/>
          <w:sz w:val="21"/>
          <w:szCs w:val="21"/>
        </w:rPr>
        <w:t>investimentos ao estrangeiro e da sua força</w:t>
      </w:r>
      <w:r>
        <w:rPr>
          <w:rFonts w:cs="Arial"/>
          <w:color w:val="000000"/>
          <w:sz w:val="21"/>
          <w:szCs w:val="21"/>
        </w:rPr>
        <w:t xml:space="preserve"> </w:t>
      </w:r>
      <w:r w:rsidRPr="003E0E93">
        <w:rPr>
          <w:rFonts w:cs="Arial"/>
          <w:color w:val="000000"/>
          <w:sz w:val="21"/>
          <w:szCs w:val="21"/>
        </w:rPr>
        <w:t>militar.</w:t>
      </w:r>
    </w:p>
    <w:p w14:paraId="5C427274" w14:textId="77777777" w:rsidR="003E0E93" w:rsidRPr="003E0E93" w:rsidRDefault="003E0E93" w:rsidP="003E0E93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t xml:space="preserve">2. </w:t>
      </w:r>
      <w:r w:rsidRPr="003E0E93">
        <w:rPr>
          <w:rFonts w:cs="Arial"/>
          <w:color w:val="000000"/>
          <w:sz w:val="21"/>
          <w:szCs w:val="21"/>
        </w:rPr>
        <w:t>Algumas das opções americanas, como o apoio a</w:t>
      </w:r>
    </w:p>
    <w:p w14:paraId="7C2DA1B5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Israel, ou o ataque ao Iraque, em 1991,</w:t>
      </w:r>
    </w:p>
    <w:p w14:paraId="7DA18739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aumentou a revolta de alguns grupos islâmicos</w:t>
      </w:r>
    </w:p>
    <w:p w14:paraId="38CD9A42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contra os americanos. Formaram-se grupos de</w:t>
      </w:r>
    </w:p>
    <w:p w14:paraId="42A395E4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res</w:t>
      </w:r>
      <w:bookmarkStart w:id="0" w:name="_GoBack"/>
      <w:bookmarkEnd w:id="0"/>
      <w:r w:rsidRPr="003E0E93">
        <w:rPr>
          <w:rFonts w:cs="Arial"/>
          <w:color w:val="000000"/>
          <w:sz w:val="21"/>
          <w:szCs w:val="21"/>
        </w:rPr>
        <w:t>istência, como a Al-Quaeda, que organizaram</w:t>
      </w:r>
    </w:p>
    <w:p w14:paraId="18BA2359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atentados como o noticiado na fonte C.</w:t>
      </w:r>
    </w:p>
    <w:p w14:paraId="37EAC6CE" w14:textId="77777777" w:rsidR="003E0E93" w:rsidRPr="003E0E93" w:rsidRDefault="003E0E93" w:rsidP="003E0E93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t xml:space="preserve">3.1. </w:t>
      </w:r>
      <w:r w:rsidRPr="003E0E93">
        <w:rPr>
          <w:rFonts w:cs="Arial"/>
          <w:color w:val="000000"/>
          <w:sz w:val="21"/>
          <w:szCs w:val="21"/>
        </w:rPr>
        <w:t>Por globalização deve entender-se a</w:t>
      </w:r>
    </w:p>
    <w:p w14:paraId="44D98C86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organização à escala mundial da produção e da</w:t>
      </w:r>
    </w:p>
    <w:p w14:paraId="68F0D9A7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comercialização. Apoiada nas modernas</w:t>
      </w:r>
    </w:p>
    <w:p w14:paraId="7ADAC7DC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tecnologias da informação e da comunicação, a</w:t>
      </w:r>
    </w:p>
    <w:p w14:paraId="36324E37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conceção, a produção e a comercialização de</w:t>
      </w:r>
    </w:p>
    <w:p w14:paraId="42EF613B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bens e serviços, bem como os fluxos capitais</w:t>
      </w:r>
    </w:p>
    <w:p w14:paraId="7471F8AF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ultrapassam as fronteiras nacionais “duas das</w:t>
      </w:r>
    </w:p>
    <w:p w14:paraId="535E5320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quatro filhas encontraram emprego nas novas</w:t>
      </w:r>
    </w:p>
    <w:p w14:paraId="64A7CEB6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fábricas estrangeiras que se implantaram nos</w:t>
      </w:r>
    </w:p>
    <w:p w14:paraId="14B1FF07" w14:textId="77777777" w:rsid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arredores”, e organizam-se à escala planetária.</w:t>
      </w:r>
    </w:p>
    <w:p w14:paraId="0B915A08" w14:textId="77777777" w:rsidR="003E0E93" w:rsidRPr="003E0E93" w:rsidRDefault="003E0E93" w:rsidP="003E0E93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>
        <w:rPr>
          <w:rFonts w:cs="Arial"/>
          <w:color w:val="000000"/>
          <w:sz w:val="21"/>
          <w:szCs w:val="21"/>
        </w:rPr>
        <w:br w:type="column"/>
      </w:r>
      <w:r w:rsidRPr="003E0E93">
        <w:rPr>
          <w:rFonts w:cs="Arial"/>
          <w:b/>
          <w:bCs/>
          <w:color w:val="004366"/>
          <w:sz w:val="21"/>
          <w:szCs w:val="21"/>
        </w:rPr>
        <w:lastRenderedPageBreak/>
        <w:t xml:space="preserve">4.1. </w:t>
      </w:r>
      <w:r w:rsidRPr="003E0E93">
        <w:rPr>
          <w:rFonts w:cs="Arial"/>
          <w:color w:val="000000"/>
          <w:sz w:val="21"/>
          <w:szCs w:val="21"/>
        </w:rPr>
        <w:t>O autor refere-se à entrada de Portugal na</w:t>
      </w:r>
    </w:p>
    <w:p w14:paraId="62379801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Comunidade Económica Europeia, um</w:t>
      </w:r>
    </w:p>
    <w:p w14:paraId="09CF59EC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acontecimento que ocorreu no dia 1 de janeiro</w:t>
      </w:r>
    </w:p>
    <w:p w14:paraId="72B97A5D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de 1986.</w:t>
      </w:r>
    </w:p>
    <w:p w14:paraId="50983480" w14:textId="77777777" w:rsidR="003E0E93" w:rsidRPr="003E0E93" w:rsidRDefault="003E0E93" w:rsidP="003E0E93">
      <w:pPr>
        <w:autoSpaceDE w:val="0"/>
        <w:autoSpaceDN w:val="0"/>
        <w:adjustRightInd w:val="0"/>
        <w:spacing w:before="120"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t xml:space="preserve">4.2. </w:t>
      </w:r>
      <w:r w:rsidRPr="003E0E93">
        <w:rPr>
          <w:rFonts w:cs="Arial"/>
          <w:color w:val="000000"/>
          <w:sz w:val="21"/>
          <w:szCs w:val="21"/>
        </w:rPr>
        <w:t>A integração de Portugal na Comunidade</w:t>
      </w:r>
    </w:p>
    <w:p w14:paraId="7A22EFEF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Económica Europeia conduziu o país a uma série</w:t>
      </w:r>
    </w:p>
    <w:p w14:paraId="295B9112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de mudanças. Os fundos comunitários foram</w:t>
      </w:r>
    </w:p>
    <w:p w14:paraId="38D93316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canalizados para a modernização da agricultura</w:t>
      </w:r>
    </w:p>
    <w:p w14:paraId="7F899AC5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e da indústria, a melhoria das infraestruturas, a</w:t>
      </w:r>
    </w:p>
    <w:p w14:paraId="5D037838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formação profissional, entre outras áreas, com</w:t>
      </w:r>
    </w:p>
    <w:p w14:paraId="6927D189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vista a aumentar a competitividade das</w:t>
      </w:r>
    </w:p>
    <w:p w14:paraId="379E62C4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empresas nacionais e a melhorar a qualidade de</w:t>
      </w:r>
    </w:p>
    <w:p w14:paraId="523FC58E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vida das populações. Ser um cidadão europeu</w:t>
      </w:r>
    </w:p>
    <w:p w14:paraId="738AB5F2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tornou-se uma grande vantagem, até no</w:t>
      </w:r>
    </w:p>
    <w:p w14:paraId="2B72EB31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domínio da educação (fonte F).</w:t>
      </w:r>
    </w:p>
    <w:p w14:paraId="72B58E64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b/>
          <w:bCs/>
          <w:color w:val="004366"/>
          <w:sz w:val="21"/>
          <w:szCs w:val="21"/>
        </w:rPr>
        <w:t xml:space="preserve">5. </w:t>
      </w:r>
      <w:r w:rsidRPr="003E0E93">
        <w:rPr>
          <w:rFonts w:cs="Arial"/>
          <w:color w:val="000000"/>
          <w:sz w:val="21"/>
          <w:szCs w:val="21"/>
        </w:rPr>
        <w:t>Na correção da resposta é considerado: a</w:t>
      </w:r>
    </w:p>
    <w:p w14:paraId="3A247921" w14:textId="77777777" w:rsidR="003E0E93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adequação da resposta à temática e a integração</w:t>
      </w:r>
    </w:p>
    <w:p w14:paraId="2447C8EC" w14:textId="77777777" w:rsidR="00B81C16" w:rsidRPr="003E0E93" w:rsidRDefault="003E0E93" w:rsidP="003E0E93">
      <w:pPr>
        <w:autoSpaceDE w:val="0"/>
        <w:autoSpaceDN w:val="0"/>
        <w:adjustRightInd w:val="0"/>
        <w:spacing w:after="0"/>
        <w:rPr>
          <w:rFonts w:cs="Arial"/>
          <w:color w:val="000000"/>
          <w:sz w:val="21"/>
          <w:szCs w:val="21"/>
        </w:rPr>
      </w:pPr>
      <w:r w:rsidRPr="003E0E93">
        <w:rPr>
          <w:rFonts w:cs="Arial"/>
          <w:color w:val="000000"/>
          <w:sz w:val="21"/>
          <w:szCs w:val="21"/>
        </w:rPr>
        <w:t>da análise das fontes.</w:t>
      </w:r>
    </w:p>
    <w:sectPr w:rsidR="00B81C16" w:rsidRPr="003E0E93" w:rsidSect="00E55FC4">
      <w:type w:val="continuous"/>
      <w:pgSz w:w="11906" w:h="16838"/>
      <w:pgMar w:top="851" w:right="284" w:bottom="1417" w:left="993" w:header="708" w:footer="708" w:gutter="0"/>
      <w:pgNumType w:start="105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endnote w:type="separator" w:id="-1">
    <w:p w14:paraId="11B27DD6" w14:textId="77777777" w:rsidR="008A0CE3" w:rsidRDefault="008A0CE3" w:rsidP="00D811C8">
      <w:pPr>
        <w:spacing w:after="0" w:line="240" w:lineRule="auto"/>
      </w:pPr>
      <w:r>
        <w:separator/>
      </w:r>
    </w:p>
  </w:endnote>
  <w:endnote w:type="continuationSeparator" w:id="0">
    <w:p w14:paraId="0F2935D5" w14:textId="77777777" w:rsidR="008A0CE3" w:rsidRDefault="008A0CE3" w:rsidP="00D811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Gill Sans Std">
    <w:altName w:val="Cambri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VAGRoundedStd-Bold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footnote w:type="separator" w:id="-1">
    <w:p w14:paraId="53682385" w14:textId="77777777" w:rsidR="008A0CE3" w:rsidRDefault="008A0CE3" w:rsidP="00D811C8">
      <w:pPr>
        <w:spacing w:after="0" w:line="240" w:lineRule="auto"/>
      </w:pPr>
      <w:r>
        <w:separator/>
      </w:r>
    </w:p>
  </w:footnote>
  <w:footnote w:type="continuationSeparator" w:id="0">
    <w:p w14:paraId="4DDBC37F" w14:textId="77777777" w:rsidR="008A0CE3" w:rsidRDefault="008A0CE3" w:rsidP="00D811C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grammar="clean"/>
  <w:defaultTabStop w:val="708"/>
  <w:hyphenationZone w:val="425"/>
  <w:drawingGridHorizontalSpacing w:val="10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3006"/>
    <w:rsid w:val="00016169"/>
    <w:rsid w:val="00023A91"/>
    <w:rsid w:val="00037C5B"/>
    <w:rsid w:val="00193006"/>
    <w:rsid w:val="001A48C5"/>
    <w:rsid w:val="001E563A"/>
    <w:rsid w:val="001F4A68"/>
    <w:rsid w:val="002161DE"/>
    <w:rsid w:val="00230134"/>
    <w:rsid w:val="003722B6"/>
    <w:rsid w:val="003E0E93"/>
    <w:rsid w:val="003E1B03"/>
    <w:rsid w:val="004371BE"/>
    <w:rsid w:val="00480FEB"/>
    <w:rsid w:val="004A0D82"/>
    <w:rsid w:val="004C4378"/>
    <w:rsid w:val="00592C92"/>
    <w:rsid w:val="005F2F45"/>
    <w:rsid w:val="006301E0"/>
    <w:rsid w:val="00656349"/>
    <w:rsid w:val="00692464"/>
    <w:rsid w:val="00692B2B"/>
    <w:rsid w:val="006B159B"/>
    <w:rsid w:val="006C2E90"/>
    <w:rsid w:val="006F7DC3"/>
    <w:rsid w:val="00706292"/>
    <w:rsid w:val="00765A70"/>
    <w:rsid w:val="00783E93"/>
    <w:rsid w:val="00791EB4"/>
    <w:rsid w:val="007D28D3"/>
    <w:rsid w:val="00812B5D"/>
    <w:rsid w:val="00855C11"/>
    <w:rsid w:val="008A0CE3"/>
    <w:rsid w:val="00903599"/>
    <w:rsid w:val="009510BC"/>
    <w:rsid w:val="009905B4"/>
    <w:rsid w:val="009E0D0E"/>
    <w:rsid w:val="009F1B16"/>
    <w:rsid w:val="00A6571F"/>
    <w:rsid w:val="00AC4D1E"/>
    <w:rsid w:val="00B02D0C"/>
    <w:rsid w:val="00B13A39"/>
    <w:rsid w:val="00B13AC3"/>
    <w:rsid w:val="00B13DD1"/>
    <w:rsid w:val="00B165B4"/>
    <w:rsid w:val="00B219EA"/>
    <w:rsid w:val="00B81C16"/>
    <w:rsid w:val="00BA3545"/>
    <w:rsid w:val="00BE3A1E"/>
    <w:rsid w:val="00BE7642"/>
    <w:rsid w:val="00C14D48"/>
    <w:rsid w:val="00C77ACB"/>
    <w:rsid w:val="00C85AED"/>
    <w:rsid w:val="00CA5CB6"/>
    <w:rsid w:val="00CD43C8"/>
    <w:rsid w:val="00D14502"/>
    <w:rsid w:val="00D20E3D"/>
    <w:rsid w:val="00D256F5"/>
    <w:rsid w:val="00D45168"/>
    <w:rsid w:val="00D811C8"/>
    <w:rsid w:val="00DB6556"/>
    <w:rsid w:val="00E42C1C"/>
    <w:rsid w:val="00E55074"/>
    <w:rsid w:val="00E55FC4"/>
    <w:rsid w:val="00E85871"/>
    <w:rsid w:val="00EC3E24"/>
    <w:rsid w:val="00EF4160"/>
    <w:rsid w:val="00F5270C"/>
    <w:rsid w:val="00F74984"/>
    <w:rsid w:val="00F832F2"/>
    <w:rsid w:val="00FC73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31">
      <o:colormru v:ext="edit" colors="#ffc"/>
      <o:colormenu v:ext="edit" fillcolor="#ffc" strokecolor="none"/>
    </o:shapedefaults>
    <o:shapelayout v:ext="edit">
      <o:idmap v:ext="edit" data="1"/>
    </o:shapelayout>
  </w:shapeDefaults>
  <w:decimalSymbol w:val="."/>
  <w:listSeparator w:val=","/>
  <w14:docId w14:val="1A41046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5C11"/>
    <w:rPr>
      <w:rFonts w:ascii="Arial" w:hAnsi="Arial"/>
      <w:color w:val="auto"/>
      <w:sz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765A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cabezado">
    <w:name w:val="header"/>
    <w:basedOn w:val="Normal"/>
    <w:link w:val="EncabezadoCar"/>
    <w:uiPriority w:val="99"/>
    <w:semiHidden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semiHidden/>
    <w:rsid w:val="00D811C8"/>
    <w:rPr>
      <w:rFonts w:ascii="Arial" w:hAnsi="Arial"/>
      <w:color w:val="auto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D811C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811C8"/>
    <w:rPr>
      <w:rFonts w:ascii="Arial" w:hAnsi="Arial"/>
      <w:color w:val="auto"/>
      <w:sz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B81C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81C16"/>
    <w:rPr>
      <w:rFonts w:ascii="Tahoma" w:hAnsi="Tahoma" w:cs="Tahoma"/>
      <w:color w:val="auto"/>
      <w:sz w:val="16"/>
      <w:szCs w:val="16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 mv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254</Words>
  <Characters>1402</Characters>
  <Application>Microsoft Macintosh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Miguel Mendonça Fonseca</cp:lastModifiedBy>
  <cp:revision>4</cp:revision>
  <dcterms:created xsi:type="dcterms:W3CDTF">2015-03-01T23:29:00Z</dcterms:created>
  <dcterms:modified xsi:type="dcterms:W3CDTF">2015-03-29T19:01:00Z</dcterms:modified>
</cp:coreProperties>
</file>