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391AEBD" w14:textId="77777777" w:rsidR="00B219EA" w:rsidRPr="00D972B4" w:rsidRDefault="00A94F95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 w14:anchorId="7DE89C08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1E2ECF3F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3529AD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6A</w:t>
                  </w:r>
                </w:p>
              </w:txbxContent>
            </v:textbox>
          </v:roundrect>
        </w:pict>
      </w:r>
      <w:r w:rsidR="00B219EA" w:rsidRPr="00D972B4">
        <w:rPr>
          <w:rFonts w:cs="Arial"/>
          <w:color w:val="E6E6C3"/>
          <w:sz w:val="72"/>
          <w:szCs w:val="72"/>
        </w:rPr>
        <w:t>Ficha de avaliação</w:t>
      </w:r>
    </w:p>
    <w:p w14:paraId="56E933F8" w14:textId="77777777" w:rsidR="00FA2647" w:rsidRDefault="00FA2647" w:rsidP="00D777F3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4366"/>
          <w:sz w:val="32"/>
          <w:szCs w:val="32"/>
        </w:rPr>
      </w:pPr>
    </w:p>
    <w:p w14:paraId="4B7B8A7C" w14:textId="77777777"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 xml:space="preserve">| </w:t>
      </w:r>
      <w:r w:rsidR="00B6529A" w:rsidRPr="00B6529A">
        <w:rPr>
          <w:rFonts w:cs="Arial"/>
          <w:color w:val="004366"/>
          <w:sz w:val="32"/>
          <w:szCs w:val="32"/>
        </w:rPr>
        <w:t>1</w:t>
      </w:r>
      <w:r w:rsidR="003529AD" w:rsidRPr="003529AD">
        <w:rPr>
          <w:rFonts w:cs="Arial"/>
          <w:color w:val="004366"/>
          <w:sz w:val="32"/>
          <w:szCs w:val="32"/>
        </w:rPr>
        <w:t>2.1. Estabilidade e instabilidade num mundo unipolar</w:t>
      </w:r>
    </w:p>
    <w:p w14:paraId="5D7C8545" w14:textId="77777777"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14:paraId="0D119A30" w14:textId="77777777"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14:paraId="7754C90C" w14:textId="77777777"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14:paraId="0AB1D89C" w14:textId="77777777" w:rsidR="00B219EA" w:rsidRPr="00B219EA" w:rsidRDefault="00B219EA" w:rsidP="00B219EA">
      <w:pPr>
        <w:rPr>
          <w:rFonts w:cs="Arial"/>
        </w:rPr>
      </w:pPr>
    </w:p>
    <w:p w14:paraId="63CF86E7" w14:textId="77777777" w:rsidR="00D777F3" w:rsidRDefault="00B219EA" w:rsidP="00B6529A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B6529A" w:rsidRPr="00B6529A">
        <w:rPr>
          <w:rFonts w:cs="Arial"/>
          <w:color w:val="CD9A00"/>
          <w:sz w:val="34"/>
          <w:szCs w:val="34"/>
        </w:rPr>
        <w:t>1</w:t>
      </w:r>
      <w:r w:rsidR="003529AD" w:rsidRPr="003529AD">
        <w:rPr>
          <w:rFonts w:cs="Arial"/>
          <w:color w:val="CD9A00"/>
          <w:sz w:val="34"/>
          <w:szCs w:val="34"/>
        </w:rPr>
        <w:t>2.1. Estabilidade e instabilidade num mundo unipolar</w:t>
      </w:r>
    </w:p>
    <w:p w14:paraId="2B772888" w14:textId="77777777"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14:paraId="155AB05E" w14:textId="77777777" w:rsidR="00B6529A" w:rsidRP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7F4131" w:rsidRPr="007F4131">
        <w:rPr>
          <w:rFonts w:cs="Arial"/>
          <w:color w:val="000000"/>
          <w:sz w:val="21"/>
          <w:szCs w:val="21"/>
        </w:rPr>
        <w:t>Lê a fonte.</w:t>
      </w:r>
    </w:p>
    <w:p w14:paraId="532CBA26" w14:textId="77777777" w:rsidR="00B6529A" w:rsidRPr="00CE53EF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noProof/>
          <w:sz w:val="22"/>
          <w:szCs w:val="22"/>
          <w:lang w:eastAsia="pt-PT"/>
        </w:rPr>
      </w:pPr>
    </w:p>
    <w:p w14:paraId="75EE1FE3" w14:textId="77777777" w:rsidR="003126B2" w:rsidRPr="003529AD" w:rsidRDefault="00A94F95" w:rsidP="003529AD">
      <w:pPr>
        <w:ind w:left="1276"/>
        <w:rPr>
          <w:rFonts w:cs="Arial"/>
          <w:b/>
          <w:sz w:val="17"/>
          <w:szCs w:val="17"/>
        </w:rPr>
      </w:pPr>
      <w:r>
        <w:rPr>
          <w:rFonts w:cs="Arial"/>
          <w:b/>
          <w:noProof/>
          <w:sz w:val="21"/>
          <w:szCs w:val="21"/>
          <w:lang w:eastAsia="pt-PT"/>
        </w:rPr>
        <w:pict w14:anchorId="5FB6E939">
          <v:rect id="_x0000_s1029" style="position:absolute;left:0;text-align:left;margin-left:62.7pt;margin-top:12.65pt;width:371.25pt;height:173pt;z-index:251663360" fillcolor="#ffc" stroked="f">
            <v:textbox>
              <w:txbxContent>
                <w:p w14:paraId="6DFA5D7D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Do ponto de vista histórico, o poderio militar da América do pós-Guerra Fria [...] não tem</w:t>
                  </w:r>
                </w:p>
                <w:p w14:paraId="38E17EC5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precedentes. [...] O enorme arsenal militar norte-americano, que antigamente mal</w:t>
                  </w:r>
                </w:p>
                <w:p w14:paraId="3DC916DF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chegava para contrabalançar o poder soviético, encontrava-se agora num mundo</w:t>
                  </w:r>
                </w:p>
                <w:p w14:paraId="667F318A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privado de um adversário único relevante. Este momento “unipolar” teve uma</w:t>
                  </w:r>
                </w:p>
                <w:p w14:paraId="389C74BE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consequência natural e completamente previsível: fez os Estados Unidos mostrarem</w:t>
                  </w:r>
                </w:p>
                <w:p w14:paraId="65376F4B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mais disposição para utilizar a sua força militar no estrangeiro. Uma vez retirada do</w:t>
                  </w:r>
                </w:p>
                <w:p w14:paraId="1AB57B06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caminho a ameaça soviética, os Estados Unidos ficavam livres para intervir onde e</w:t>
                  </w:r>
                </w:p>
                <w:p w14:paraId="3F3D4270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quando lhes aprouvesse – facto que se reflete na proliferação de intervenções militares</w:t>
                  </w:r>
                </w:p>
                <w:p w14:paraId="2C2A9170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que teve o seu início durante a primeira administração de Bush, com a invasão do</w:t>
                  </w:r>
                </w:p>
                <w:p w14:paraId="781A4BDA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Panamá em 1989, a Guerra do Golfo de 1991 e a intervenção humanitária na Somália</w:t>
                  </w:r>
                </w:p>
                <w:p w14:paraId="23DCE60E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em 1992, e prosseguiu durante a administração Clinton, com intervenções no Haiti, na</w:t>
                  </w:r>
                </w:p>
                <w:p w14:paraId="6C72644D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Bósnia e no Kosovo.</w:t>
                  </w:r>
                </w:p>
                <w:p w14:paraId="7B7EC72B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i/>
                      <w:iCs/>
                      <w:sz w:val="14"/>
                      <w:szCs w:val="14"/>
                    </w:rPr>
                  </w:pPr>
                  <w:r w:rsidRPr="003529AD">
                    <w:rPr>
                      <w:rFonts w:cs="Arial"/>
                      <w:sz w:val="14"/>
                      <w:szCs w:val="14"/>
                    </w:rPr>
                    <w:t xml:space="preserve">Robert Kagan, </w:t>
                  </w:r>
                  <w:r w:rsidRPr="003529AD">
                    <w:rPr>
                      <w:rFonts w:cs="Arial"/>
                      <w:i/>
                      <w:iCs/>
                      <w:sz w:val="14"/>
                      <w:szCs w:val="14"/>
                    </w:rPr>
                    <w:t>O Paraíso e o Poder – A América e a Europa na Nova Ordem Mundial,</w:t>
                  </w:r>
                </w:p>
                <w:p w14:paraId="49ABBDB9" w14:textId="77777777" w:rsidR="00B81C16" w:rsidRPr="003529AD" w:rsidRDefault="003529AD" w:rsidP="003529AD">
                  <w:pPr>
                    <w:jc w:val="right"/>
                    <w:rPr>
                      <w:rFonts w:cs="Arial"/>
                    </w:rPr>
                  </w:pPr>
                  <w:r w:rsidRPr="003529AD">
                    <w:rPr>
                      <w:rFonts w:cs="Arial"/>
                      <w:sz w:val="14"/>
                      <w:szCs w:val="14"/>
                    </w:rPr>
                    <w:t>Lisboa, Gradiva, 2003</w:t>
                  </w:r>
                </w:p>
              </w:txbxContent>
            </v:textbox>
          </v:rect>
        </w:pict>
      </w:r>
      <w:r w:rsidR="003126B2" w:rsidRPr="003529AD">
        <w:rPr>
          <w:rFonts w:cs="Arial"/>
          <w:b/>
          <w:sz w:val="17"/>
          <w:szCs w:val="17"/>
        </w:rPr>
        <w:t xml:space="preserve">Fonte </w:t>
      </w:r>
      <w:r w:rsidR="007F4131" w:rsidRPr="003529AD">
        <w:rPr>
          <w:rFonts w:cs="Arial"/>
          <w:b/>
          <w:sz w:val="17"/>
          <w:szCs w:val="17"/>
        </w:rPr>
        <w:t>A</w:t>
      </w:r>
      <w:r w:rsidR="00CE53EF" w:rsidRPr="003529AD">
        <w:rPr>
          <w:rFonts w:cs="Arial"/>
          <w:b/>
          <w:sz w:val="17"/>
          <w:szCs w:val="17"/>
        </w:rPr>
        <w:t xml:space="preserve"> </w:t>
      </w:r>
    </w:p>
    <w:p w14:paraId="4B4A50BC" w14:textId="77777777"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7D080D24" w14:textId="77777777"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38ED1DE8" w14:textId="77777777"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7BA1229F" w14:textId="77777777"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6FBA29B1" w14:textId="77777777"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53DE55EC" w14:textId="77777777"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13932ADC" w14:textId="77777777"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0FDFF186" w14:textId="77777777"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1D414C9E" w14:textId="77777777" w:rsidR="003529AD" w:rsidRDefault="003529AD" w:rsidP="003529AD">
      <w:pPr>
        <w:autoSpaceDE w:val="0"/>
        <w:autoSpaceDN w:val="0"/>
        <w:adjustRightInd w:val="0"/>
        <w:spacing w:before="120" w:after="0"/>
        <w:ind w:left="851" w:hanging="567"/>
        <w:rPr>
          <w:rFonts w:cs="Arial"/>
          <w:b/>
          <w:bCs/>
          <w:color w:val="004366"/>
          <w:sz w:val="22"/>
          <w:szCs w:val="22"/>
        </w:rPr>
      </w:pPr>
    </w:p>
    <w:p w14:paraId="6D24FFF2" w14:textId="77777777" w:rsidR="003529AD" w:rsidRPr="003529AD" w:rsidRDefault="003529AD" w:rsidP="003529AD">
      <w:pPr>
        <w:autoSpaceDE w:val="0"/>
        <w:autoSpaceDN w:val="0"/>
        <w:adjustRightInd w:val="0"/>
        <w:spacing w:after="0"/>
        <w:ind w:left="851" w:hanging="567"/>
        <w:rPr>
          <w:rFonts w:cs="Arial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>1.1.</w:t>
      </w:r>
      <w:r w:rsidRPr="003529AD">
        <w:rPr>
          <w:rFonts w:cs="Arial"/>
          <w:b/>
          <w:bCs/>
          <w:sz w:val="22"/>
          <w:szCs w:val="22"/>
        </w:rPr>
        <w:t xml:space="preserve"> </w:t>
      </w:r>
      <w:r w:rsidRPr="003529AD">
        <w:rPr>
          <w:rFonts w:cs="Arial"/>
          <w:sz w:val="21"/>
          <w:szCs w:val="21"/>
        </w:rPr>
        <w:t>Ao que se refere o autor da fonte A na expressão “momento ‘unipolar’</w:t>
      </w:r>
      <w:r w:rsidR="00A94F95">
        <w:rPr>
          <w:rFonts w:cs="Arial"/>
          <w:sz w:val="21"/>
          <w:szCs w:val="21"/>
        </w:rPr>
        <w:t xml:space="preserve"> ”</w:t>
      </w:r>
      <w:r w:rsidRPr="003529AD">
        <w:rPr>
          <w:rFonts w:cs="Arial"/>
          <w:sz w:val="21"/>
          <w:szCs w:val="21"/>
        </w:rPr>
        <w:t>?</w:t>
      </w:r>
    </w:p>
    <w:p w14:paraId="3F7BC9BF" w14:textId="77777777" w:rsidR="003529AD" w:rsidRPr="003529AD" w:rsidRDefault="003529AD" w:rsidP="003529AD">
      <w:pPr>
        <w:autoSpaceDE w:val="0"/>
        <w:autoSpaceDN w:val="0"/>
        <w:adjustRightInd w:val="0"/>
        <w:spacing w:after="0"/>
        <w:ind w:left="851" w:hanging="567"/>
        <w:rPr>
          <w:rFonts w:cs="Arial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3529AD">
        <w:rPr>
          <w:rFonts w:cs="Arial"/>
          <w:sz w:val="21"/>
          <w:szCs w:val="21"/>
        </w:rPr>
        <w:t>Apresenta, com base na fonte, a manifestação da supremacia militar americana.</w:t>
      </w:r>
    </w:p>
    <w:p w14:paraId="0AF76E58" w14:textId="77777777" w:rsidR="003529AD" w:rsidRPr="003529AD" w:rsidRDefault="003529AD" w:rsidP="003529AD">
      <w:pPr>
        <w:spacing w:before="120" w:after="0"/>
        <w:rPr>
          <w:rFonts w:cs="Arial"/>
          <w:sz w:val="21"/>
          <w:szCs w:val="21"/>
        </w:rPr>
      </w:pPr>
      <w:r w:rsidRPr="003529AD">
        <w:rPr>
          <w:rFonts w:cs="Arial"/>
          <w:b/>
          <w:bCs/>
          <w:sz w:val="22"/>
          <w:szCs w:val="22"/>
        </w:rPr>
        <w:t xml:space="preserve">2. </w:t>
      </w:r>
      <w:r w:rsidRPr="003529AD">
        <w:rPr>
          <w:rFonts w:cs="Arial"/>
          <w:sz w:val="21"/>
          <w:szCs w:val="21"/>
        </w:rPr>
        <w:t>Lê a fonte.</w:t>
      </w:r>
    </w:p>
    <w:p w14:paraId="5150E429" w14:textId="77777777" w:rsidR="003529AD" w:rsidRPr="003529AD" w:rsidRDefault="00A94F95" w:rsidP="003529AD">
      <w:pPr>
        <w:ind w:left="1276"/>
        <w:rPr>
          <w:rFonts w:cs="Arial"/>
          <w:b/>
          <w:sz w:val="17"/>
          <w:szCs w:val="17"/>
        </w:rPr>
      </w:pPr>
      <w:r>
        <w:rPr>
          <w:rFonts w:cs="Arial"/>
          <w:b/>
          <w:noProof/>
          <w:sz w:val="21"/>
          <w:szCs w:val="21"/>
          <w:lang w:eastAsia="pt-PT"/>
        </w:rPr>
        <w:pict w14:anchorId="071E158A">
          <v:rect id="_x0000_s1092" style="position:absolute;left:0;text-align:left;margin-left:62.7pt;margin-top:12.65pt;width:371.25pt;height:122.1pt;z-index:251665408" fillcolor="#ffc" stroked="f">
            <v:textbox>
              <w:txbxContent>
                <w:p w14:paraId="23D06C1A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O Papa Francisco apelou aos dirigentes muçulmanos para condenarem sem equívocos</w:t>
                  </w:r>
                </w:p>
                <w:p w14:paraId="0DCFF00C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o terrorismo islamista. “Disse-lhe que seria bom que todos os dirigentes muçulmanos</w:t>
                  </w:r>
                </w:p>
                <w:p w14:paraId="7D38C496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do mundo, políticos, religiosos e universitários, se pronunciassem claramente e</w:t>
                  </w:r>
                </w:p>
                <w:p w14:paraId="05DAB298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condenassem” esta violência que afeta o islão – afirmou Francisco. “Ajudaria a maioria</w:t>
                  </w:r>
                </w:p>
                <w:p w14:paraId="32022DB0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dos muçulmanos, se viesse da boca desses dirigentes políticos, religiosos, universitários.</w:t>
                  </w:r>
                </w:p>
                <w:p w14:paraId="189F82D2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Todos temos necessidade de uma condenação global”, disse, citado pela AFP. “Muitos</w:t>
                  </w:r>
                </w:p>
                <w:p w14:paraId="3A6A6983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muçulmanos estão ofendidos e dizem: nós não somos assim, o Corão é um livro</w:t>
                  </w:r>
                </w:p>
                <w:p w14:paraId="1F5E9B69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profético de paz”, declarou também. Francisco condenou igualmente os que “dizem</w:t>
                  </w:r>
                </w:p>
                <w:p w14:paraId="0B7CD64D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que todos os muçulmanos são terroristas”, porque também “não podemos dizer que</w:t>
                  </w:r>
                </w:p>
                <w:p w14:paraId="4F360291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todos os cristãos são fundamentalistas”.</w:t>
                  </w:r>
                </w:p>
                <w:p w14:paraId="660D5029" w14:textId="77777777" w:rsidR="003529AD" w:rsidRPr="003529AD" w:rsidRDefault="003529AD" w:rsidP="003529AD">
                  <w:pPr>
                    <w:jc w:val="right"/>
                    <w:rPr>
                      <w:rFonts w:cs="Arial"/>
                    </w:rPr>
                  </w:pPr>
                  <w:r w:rsidRPr="003529AD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Jornal Público </w:t>
                  </w:r>
                  <w:r w:rsidRPr="003529AD">
                    <w:rPr>
                      <w:rFonts w:cs="Arial"/>
                      <w:sz w:val="14"/>
                      <w:szCs w:val="14"/>
                    </w:rPr>
                    <w:t>“Papa apela aos dirigentes muçulmanos para condenarem terrorismo”</w:t>
                  </w:r>
                  <w:r w:rsidRPr="003529AD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, </w:t>
                  </w:r>
                  <w:r w:rsidRPr="003529AD">
                    <w:rPr>
                      <w:rFonts w:cs="Arial"/>
                      <w:sz w:val="14"/>
                      <w:szCs w:val="14"/>
                    </w:rPr>
                    <w:t>01/12/2</w:t>
                  </w:r>
                </w:p>
              </w:txbxContent>
            </v:textbox>
          </v:rect>
        </w:pict>
      </w:r>
      <w:r w:rsidR="003529AD" w:rsidRPr="003529AD">
        <w:rPr>
          <w:rFonts w:cs="Arial"/>
          <w:b/>
          <w:sz w:val="17"/>
          <w:szCs w:val="17"/>
        </w:rPr>
        <w:t xml:space="preserve">Fonte </w:t>
      </w:r>
      <w:r w:rsidR="003529AD">
        <w:rPr>
          <w:rFonts w:cs="Arial"/>
          <w:b/>
          <w:sz w:val="17"/>
          <w:szCs w:val="17"/>
        </w:rPr>
        <w:t>B</w:t>
      </w:r>
      <w:r w:rsidR="003529AD" w:rsidRPr="003529AD">
        <w:rPr>
          <w:rFonts w:cs="Arial"/>
          <w:b/>
          <w:sz w:val="17"/>
          <w:szCs w:val="17"/>
        </w:rPr>
        <w:t xml:space="preserve"> </w:t>
      </w:r>
    </w:p>
    <w:p w14:paraId="274DC998" w14:textId="77777777"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6E3B97BE" w14:textId="77777777"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7F3957D2" w14:textId="77777777"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55EB009C" w14:textId="77777777"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33833B1D" w14:textId="77777777" w:rsidR="003529AD" w:rsidRDefault="003529AD" w:rsidP="003529AD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4C7F843A" w14:textId="77777777" w:rsidR="003529AD" w:rsidRDefault="003529AD" w:rsidP="003529AD">
      <w:pPr>
        <w:autoSpaceDE w:val="0"/>
        <w:autoSpaceDN w:val="0"/>
        <w:adjustRightInd w:val="0"/>
        <w:spacing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14:paraId="530083DB" w14:textId="77777777" w:rsidR="003529AD" w:rsidRPr="003529AD" w:rsidRDefault="003529AD" w:rsidP="003529A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3529AD">
        <w:rPr>
          <w:rFonts w:cs="Arial"/>
          <w:color w:val="000000"/>
          <w:sz w:val="21"/>
          <w:szCs w:val="21"/>
        </w:rPr>
        <w:t>Identifica, a partir da análise da fonte B, a grande preocupação do Papa Francisco.</w:t>
      </w:r>
    </w:p>
    <w:p w14:paraId="55CF39C8" w14:textId="77777777" w:rsidR="003529AD" w:rsidRDefault="003529AD" w:rsidP="003529A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2.2. </w:t>
      </w:r>
      <w:r w:rsidRPr="003529AD">
        <w:rPr>
          <w:rFonts w:cs="Arial"/>
          <w:color w:val="000000"/>
          <w:sz w:val="21"/>
          <w:szCs w:val="21"/>
        </w:rPr>
        <w:t>Qual a sua posição sobre o assunto? Justifica com dados da fonte.</w:t>
      </w:r>
    </w:p>
    <w:p w14:paraId="09E8839A" w14:textId="77777777" w:rsidR="003529AD" w:rsidRDefault="003529AD">
      <w:pPr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page"/>
      </w:r>
    </w:p>
    <w:p w14:paraId="380D6B89" w14:textId="77777777" w:rsidR="003529AD" w:rsidRDefault="003529AD" w:rsidP="003529A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lastRenderedPageBreak/>
        <w:t xml:space="preserve">3. </w:t>
      </w:r>
      <w:r w:rsidRPr="003529AD">
        <w:rPr>
          <w:rFonts w:cs="Arial"/>
          <w:color w:val="000000"/>
          <w:sz w:val="21"/>
          <w:szCs w:val="21"/>
        </w:rPr>
        <w:t>Analisa as fontes.</w:t>
      </w:r>
    </w:p>
    <w:p w14:paraId="75E33045" w14:textId="77777777" w:rsidR="003529AD" w:rsidRDefault="00A94F95" w:rsidP="003529AD">
      <w:pPr>
        <w:autoSpaceDE w:val="0"/>
        <w:autoSpaceDN w:val="0"/>
        <w:adjustRightInd w:val="0"/>
        <w:spacing w:after="0"/>
        <w:ind w:left="5245"/>
        <w:rPr>
          <w:rFonts w:cs="Arial"/>
          <w:color w:val="000000"/>
          <w:sz w:val="21"/>
          <w:szCs w:val="21"/>
        </w:rPr>
      </w:pPr>
      <w:r>
        <w:rPr>
          <w:rFonts w:cs="Arial"/>
          <w:b/>
          <w:noProof/>
          <w:sz w:val="21"/>
          <w:szCs w:val="21"/>
          <w:lang w:eastAsia="pt-PT"/>
        </w:rPr>
        <w:pict w14:anchorId="282CFCD7">
          <v:rect id="_x0000_s1095" style="position:absolute;left:0;text-align:left;margin-left:260.95pt;margin-top:9.55pt;width:267.55pt;height:145.2pt;z-index:251667456" fillcolor="#ffc" stroked="f">
            <v:textbox>
              <w:txbxContent>
                <w:p w14:paraId="6BC7C01B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Estamos hoje perante um novo modelo laboral e social,</w:t>
                  </w:r>
                </w:p>
                <w:p w14:paraId="6921C8A3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caracterizado pelo aumento da individualização das relações</w:t>
                  </w:r>
                </w:p>
                <w:p w14:paraId="501B06BB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sociais, da insegurança, da precarização e do risco em</w:t>
                  </w:r>
                </w:p>
                <w:p w14:paraId="37DE14E4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diferentes níveis da vida social, nomeadamente na esfera</w:t>
                  </w:r>
                </w:p>
                <w:p w14:paraId="5DD44A50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laboral [...]. A constante mobilidade do capital e o consequente</w:t>
                  </w:r>
                </w:p>
                <w:p w14:paraId="3433D6F3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aumento da fragmentação, a descentralização do processo</w:t>
                  </w:r>
                </w:p>
                <w:p w14:paraId="43C9F3BB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produtivo, traduzem-se cada vez mais em fenómenos como</w:t>
                  </w:r>
                </w:p>
                <w:p w14:paraId="35982367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a deslocalização de empresas, subcontratação, flexibilidade</w:t>
                  </w:r>
                </w:p>
                <w:p w14:paraId="2892F16C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3529AD">
                    <w:rPr>
                      <w:rFonts w:cs="Arial"/>
                      <w:sz w:val="18"/>
                      <w:szCs w:val="18"/>
                    </w:rPr>
                    <w:t>de horários, desemprego e emprego precário, etc. [...]</w:t>
                  </w:r>
                </w:p>
                <w:p w14:paraId="28448F42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3529AD">
                    <w:rPr>
                      <w:rFonts w:cs="Arial"/>
                      <w:sz w:val="14"/>
                      <w:szCs w:val="14"/>
                    </w:rPr>
                    <w:t>Elísio Estanque e António Casimiro Ferreira, “Transformações no mundo</w:t>
                  </w:r>
                </w:p>
                <w:p w14:paraId="69389457" w14:textId="77777777" w:rsidR="003529AD" w:rsidRPr="003529AD" w:rsidRDefault="003529AD" w:rsidP="003529AD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3529AD">
                    <w:rPr>
                      <w:rFonts w:cs="Arial"/>
                      <w:sz w:val="14"/>
                      <w:szCs w:val="14"/>
                    </w:rPr>
                    <w:t>laboral e novos desafios do sindicalismo português”,</w:t>
                  </w:r>
                </w:p>
                <w:p w14:paraId="3A9FC4BE" w14:textId="77777777" w:rsidR="003529AD" w:rsidRPr="003529AD" w:rsidRDefault="003529AD" w:rsidP="003529AD">
                  <w:pPr>
                    <w:jc w:val="right"/>
                    <w:rPr>
                      <w:rFonts w:cs="Arial"/>
                    </w:rPr>
                  </w:pPr>
                  <w:r w:rsidRPr="003529AD">
                    <w:rPr>
                      <w:rFonts w:cs="Arial"/>
                      <w:i/>
                      <w:iCs/>
                      <w:sz w:val="14"/>
                      <w:szCs w:val="14"/>
                    </w:rPr>
                    <w:t>Revista Crítica de Ciências Sociais</w:t>
                  </w:r>
                  <w:r w:rsidRPr="003529AD">
                    <w:rPr>
                      <w:rFonts w:cs="Arial"/>
                      <w:sz w:val="14"/>
                      <w:szCs w:val="14"/>
                    </w:rPr>
                    <w:t>, 62, junho, 2002</w:t>
                  </w:r>
                </w:p>
              </w:txbxContent>
            </v:textbox>
          </v:rect>
        </w:pict>
      </w:r>
      <w:r w:rsidR="003529AD" w:rsidRPr="003529AD">
        <w:rPr>
          <w:rFonts w:cs="Arial"/>
          <w:b/>
          <w:sz w:val="17"/>
          <w:szCs w:val="17"/>
        </w:rPr>
        <w:t xml:space="preserve">Fonte </w:t>
      </w:r>
      <w:r>
        <w:rPr>
          <w:rFonts w:cs="Arial"/>
          <w:b/>
          <w:sz w:val="17"/>
          <w:szCs w:val="17"/>
        </w:rPr>
        <w:t>D</w:t>
      </w:r>
      <w:bookmarkStart w:id="0" w:name="_GoBack"/>
      <w:bookmarkEnd w:id="0"/>
    </w:p>
    <w:p w14:paraId="27BFCE8A" w14:textId="77777777" w:rsidR="003529AD" w:rsidRPr="003529AD" w:rsidRDefault="003529AD" w:rsidP="003529AD">
      <w:pPr>
        <w:autoSpaceDE w:val="0"/>
        <w:autoSpaceDN w:val="0"/>
        <w:adjustRightInd w:val="0"/>
        <w:spacing w:after="0"/>
        <w:ind w:left="284"/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b/>
          <w:bCs/>
          <w:noProof/>
          <w:color w:val="004366"/>
          <w:sz w:val="22"/>
          <w:szCs w:val="22"/>
          <w:lang w:val="es-ES" w:eastAsia="es-ES"/>
        </w:rPr>
        <w:drawing>
          <wp:inline distT="0" distB="0" distL="0" distR="0" wp14:anchorId="60EC964D" wp14:editId="6F4EEBC6">
            <wp:extent cx="2914838" cy="152855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84" cy="1529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634733" w14:textId="77777777" w:rsidR="003529AD" w:rsidRPr="003529AD" w:rsidRDefault="003529AD" w:rsidP="003529AD">
      <w:pPr>
        <w:ind w:left="426"/>
        <w:rPr>
          <w:rFonts w:cs="Arial"/>
          <w:b/>
          <w:sz w:val="17"/>
          <w:szCs w:val="17"/>
        </w:rPr>
      </w:pPr>
      <w:r w:rsidRPr="003529AD">
        <w:rPr>
          <w:rFonts w:cs="Arial"/>
          <w:sz w:val="17"/>
          <w:szCs w:val="17"/>
        </w:rPr>
        <w:t>Fonte C – As novas tecnologias</w:t>
      </w:r>
      <w:r w:rsidRPr="003529AD">
        <w:rPr>
          <w:rFonts w:cs="Arial"/>
          <w:b/>
          <w:sz w:val="17"/>
          <w:szCs w:val="17"/>
        </w:rPr>
        <w:t xml:space="preserve"> </w:t>
      </w:r>
    </w:p>
    <w:p w14:paraId="6FAF1271" w14:textId="77777777" w:rsidR="003529AD" w:rsidRDefault="003529AD" w:rsidP="003529AD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14:paraId="2A636B9E" w14:textId="77777777" w:rsidR="003529AD" w:rsidRPr="003529AD" w:rsidRDefault="003529AD" w:rsidP="003529AD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3529AD">
        <w:rPr>
          <w:rFonts w:cs="Arial"/>
          <w:color w:val="000000"/>
          <w:sz w:val="21"/>
          <w:szCs w:val="21"/>
        </w:rPr>
        <w:t>Qual a importância das novas tecnologias para o desenvolvimento da economia mundial?</w:t>
      </w:r>
    </w:p>
    <w:p w14:paraId="43245BE6" w14:textId="77777777" w:rsidR="003529AD" w:rsidRPr="003529AD" w:rsidRDefault="003529AD" w:rsidP="003529AD">
      <w:pPr>
        <w:autoSpaceDE w:val="0"/>
        <w:autoSpaceDN w:val="0"/>
        <w:adjustRightInd w:val="0"/>
        <w:spacing w:before="120" w:after="0"/>
        <w:ind w:left="426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3.2. </w:t>
      </w:r>
      <w:r w:rsidRPr="003529AD">
        <w:rPr>
          <w:rFonts w:cs="Arial"/>
          <w:color w:val="000000"/>
          <w:sz w:val="21"/>
          <w:szCs w:val="21"/>
        </w:rPr>
        <w:t>Que opinião têm os autores da fonte D em relação à globalização? Justifica a tua resposta com dados</w:t>
      </w:r>
      <w:r>
        <w:rPr>
          <w:rFonts w:cs="Arial"/>
          <w:color w:val="000000"/>
          <w:sz w:val="21"/>
          <w:szCs w:val="21"/>
        </w:rPr>
        <w:t xml:space="preserve"> </w:t>
      </w:r>
      <w:r w:rsidRPr="003529AD">
        <w:rPr>
          <w:rFonts w:cs="Arial"/>
          <w:color w:val="000000"/>
          <w:sz w:val="21"/>
          <w:szCs w:val="21"/>
        </w:rPr>
        <w:t>da fonte.</w:t>
      </w:r>
    </w:p>
    <w:p w14:paraId="64E655AD" w14:textId="77777777" w:rsidR="003529AD" w:rsidRDefault="003529AD" w:rsidP="003529AD">
      <w:pPr>
        <w:spacing w:before="120" w:after="0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3529AD">
        <w:rPr>
          <w:rFonts w:cs="Arial"/>
          <w:color w:val="000000"/>
          <w:sz w:val="21"/>
          <w:szCs w:val="21"/>
        </w:rPr>
        <w:t>Analisa as fontes.</w:t>
      </w:r>
    </w:p>
    <w:p w14:paraId="7371C6DB" w14:textId="77777777" w:rsidR="003529AD" w:rsidRDefault="00A94F95" w:rsidP="003529AD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pict w14:anchorId="41B80909">
          <v:rect id="_x0000_s1099" style="position:absolute;margin-left:473.7pt;margin-top:24.8pt;width:46.2pt;height:16.1pt;z-index:251672576" stroked="f">
            <v:textbox>
              <w:txbxContent>
                <w:p w14:paraId="5167EAA1" w14:textId="77777777" w:rsidR="003529AD" w:rsidRPr="003529AD" w:rsidRDefault="003529AD">
                  <w:pPr>
                    <w:rPr>
                      <w:rFonts w:cs="Arial"/>
                    </w:rPr>
                  </w:pPr>
                  <w:r w:rsidRPr="003529AD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>
                    <w:rPr>
                      <w:rFonts w:cs="Arial"/>
                      <w:sz w:val="17"/>
                      <w:szCs w:val="17"/>
                    </w:rPr>
                    <w:t>F</w:t>
                  </w:r>
                </w:p>
              </w:txbxContent>
            </v:textbox>
          </v:rect>
        </w:pict>
      </w:r>
      <w: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pict w14:anchorId="4C3F6CB8">
          <v:rect id="_x0000_s1098" style="position:absolute;margin-left:257.7pt;margin-top:347.2pt;width:46.2pt;height:16.1pt;z-index:251671552" stroked="f">
            <v:textbox>
              <w:txbxContent>
                <w:p w14:paraId="2FF3D20C" w14:textId="77777777" w:rsidR="003529AD" w:rsidRPr="003529AD" w:rsidRDefault="003529AD">
                  <w:pPr>
                    <w:rPr>
                      <w:rFonts w:cs="Arial"/>
                    </w:rPr>
                  </w:pPr>
                  <w:r w:rsidRPr="003529AD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>
                    <w:rPr>
                      <w:rFonts w:cs="Arial"/>
                      <w:sz w:val="17"/>
                      <w:szCs w:val="17"/>
                    </w:rPr>
                    <w:t>G</w:t>
                  </w:r>
                </w:p>
              </w:txbxContent>
            </v:textbox>
          </v:rect>
        </w:pict>
      </w:r>
      <w: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pict w14:anchorId="383AAF81">
          <v:rect id="_x0000_s1097" style="position:absolute;margin-left:18.6pt;margin-top:273.05pt;width:46.2pt;height:16.1pt;z-index:251670528" stroked="f">
            <v:textbox>
              <w:txbxContent>
                <w:p w14:paraId="70627EC5" w14:textId="77777777" w:rsidR="003529AD" w:rsidRPr="003529AD" w:rsidRDefault="003529AD">
                  <w:pPr>
                    <w:rPr>
                      <w:rFonts w:cs="Arial"/>
                    </w:rPr>
                  </w:pPr>
                  <w:r w:rsidRPr="003529AD">
                    <w:rPr>
                      <w:rFonts w:cs="Arial"/>
                      <w:sz w:val="17"/>
                      <w:szCs w:val="17"/>
                    </w:rPr>
                    <w:t>Fonte E</w:t>
                  </w:r>
                </w:p>
              </w:txbxContent>
            </v:textbox>
          </v:rect>
        </w:pict>
      </w:r>
      <w:r w:rsidR="003529AD">
        <w:rPr>
          <w:rFonts w:cs="Arial"/>
          <w:b/>
          <w:bCs/>
          <w:noProof/>
          <w:color w:val="244061" w:themeColor="accent1" w:themeShade="80"/>
          <w:sz w:val="22"/>
          <w:szCs w:val="22"/>
          <w:lang w:val="es-ES" w:eastAsia="es-ES"/>
        </w:rPr>
        <w:drawing>
          <wp:inline distT="0" distB="0" distL="0" distR="0" wp14:anchorId="3E6BA77A" wp14:editId="4304D554">
            <wp:extent cx="6216650" cy="4278630"/>
            <wp:effectExtent l="19050" t="0" r="0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0" cy="427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E6A6CF" w14:textId="77777777" w:rsidR="003529AD" w:rsidRDefault="003529AD" w:rsidP="003529AD">
      <w:pPr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14:paraId="219A38BB" w14:textId="77777777" w:rsidR="003529AD" w:rsidRDefault="003529AD" w:rsidP="003529AD">
      <w:pPr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14:paraId="347F1635" w14:textId="77777777" w:rsidR="003529AD" w:rsidRPr="003529AD" w:rsidRDefault="003529AD" w:rsidP="003529AD">
      <w:pPr>
        <w:spacing w:before="120" w:after="0"/>
        <w:rPr>
          <w:rFonts w:cs="Arial"/>
          <w:color w:val="000000"/>
          <w:sz w:val="21"/>
          <w:szCs w:val="21"/>
        </w:rPr>
      </w:pPr>
      <w:r w:rsidRPr="003529AD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3529AD">
        <w:rPr>
          <w:rFonts w:cs="Arial"/>
          <w:color w:val="000000"/>
          <w:sz w:val="21"/>
          <w:szCs w:val="21"/>
        </w:rPr>
        <w:t>Descreve o processo de adesão de Portugal à Comunidade Económica Europeia.</w:t>
      </w:r>
    </w:p>
    <w:p w14:paraId="0A83B28B" w14:textId="77777777" w:rsidR="003529AD" w:rsidRPr="003529AD" w:rsidRDefault="003529AD" w:rsidP="003529AD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14:paraId="79653651" w14:textId="77777777"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3529AD">
        <w:rPr>
          <w:rFonts w:cs="Arial"/>
          <w:b/>
          <w:bCs/>
          <w:noProof/>
          <w:color w:val="244061" w:themeColor="accent1" w:themeShade="80"/>
          <w:sz w:val="22"/>
          <w:szCs w:val="22"/>
          <w:lang w:val="es-ES" w:eastAsia="es-ES"/>
        </w:rPr>
        <w:drawing>
          <wp:anchor distT="0" distB="0" distL="114300" distR="114300" simplePos="0" relativeHeight="251669504" behindDoc="0" locked="0" layoutInCell="1" allowOverlap="1" wp14:anchorId="2B78C179" wp14:editId="52A2FD26">
            <wp:simplePos x="0" y="0"/>
            <wp:positionH relativeFrom="column">
              <wp:posOffset>4485933</wp:posOffset>
            </wp:positionH>
            <wp:positionV relativeFrom="paragraph">
              <wp:posOffset>37096</wp:posOffset>
            </wp:positionV>
            <wp:extent cx="1441734" cy="559558"/>
            <wp:effectExtent l="19050" t="0" r="6066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734" cy="559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E1A7A1" w14:textId="77777777" w:rsidR="003529AD" w:rsidRDefault="003529AD" w:rsidP="003529AD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sectPr w:rsidR="003529AD" w:rsidSect="001F7724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6FD14963" w14:textId="77777777" w:rsidR="009B3DEE" w:rsidRDefault="009B3DEE" w:rsidP="00D811C8">
      <w:pPr>
        <w:spacing w:after="0" w:line="240" w:lineRule="auto"/>
      </w:pPr>
      <w:r>
        <w:separator/>
      </w:r>
    </w:p>
  </w:endnote>
  <w:endnote w:type="continuationSeparator" w:id="0">
    <w:p w14:paraId="565FE984" w14:textId="77777777" w:rsidR="009B3DEE" w:rsidRDefault="009B3DEE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1D66B80" w14:textId="77777777" w:rsidR="009B3DEE" w:rsidRDefault="009B3DEE" w:rsidP="00D811C8">
      <w:pPr>
        <w:spacing w:after="0" w:line="240" w:lineRule="auto"/>
      </w:pPr>
      <w:r>
        <w:separator/>
      </w:r>
    </w:p>
  </w:footnote>
  <w:footnote w:type="continuationSeparator" w:id="0">
    <w:p w14:paraId="1DE07CC4" w14:textId="77777777" w:rsidR="009B3DEE" w:rsidRDefault="009B3DEE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71A8"/>
    <w:rsid w:val="00017274"/>
    <w:rsid w:val="00023A91"/>
    <w:rsid w:val="000A239A"/>
    <w:rsid w:val="000C45C6"/>
    <w:rsid w:val="000F127B"/>
    <w:rsid w:val="001119F2"/>
    <w:rsid w:val="0011711E"/>
    <w:rsid w:val="0013325E"/>
    <w:rsid w:val="00193006"/>
    <w:rsid w:val="001E563A"/>
    <w:rsid w:val="001F4A68"/>
    <w:rsid w:val="001F7724"/>
    <w:rsid w:val="002161DE"/>
    <w:rsid w:val="002835C5"/>
    <w:rsid w:val="002B4DF5"/>
    <w:rsid w:val="002C24B6"/>
    <w:rsid w:val="003126B2"/>
    <w:rsid w:val="00325795"/>
    <w:rsid w:val="003529AD"/>
    <w:rsid w:val="003722B6"/>
    <w:rsid w:val="003929EC"/>
    <w:rsid w:val="003D6F41"/>
    <w:rsid w:val="003E1B03"/>
    <w:rsid w:val="0040525F"/>
    <w:rsid w:val="004347A3"/>
    <w:rsid w:val="004371BE"/>
    <w:rsid w:val="00480FEB"/>
    <w:rsid w:val="004C4378"/>
    <w:rsid w:val="004E5E0A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2529C"/>
    <w:rsid w:val="00765A70"/>
    <w:rsid w:val="007B369B"/>
    <w:rsid w:val="007C1F31"/>
    <w:rsid w:val="007D28D3"/>
    <w:rsid w:val="007F4131"/>
    <w:rsid w:val="00803114"/>
    <w:rsid w:val="00815704"/>
    <w:rsid w:val="0085265A"/>
    <w:rsid w:val="00855492"/>
    <w:rsid w:val="00855C11"/>
    <w:rsid w:val="008B1CF2"/>
    <w:rsid w:val="008D00A7"/>
    <w:rsid w:val="009510BC"/>
    <w:rsid w:val="009905B4"/>
    <w:rsid w:val="009B3DEE"/>
    <w:rsid w:val="009F1B16"/>
    <w:rsid w:val="00A25F02"/>
    <w:rsid w:val="00A455E8"/>
    <w:rsid w:val="00A47EB9"/>
    <w:rsid w:val="00A57F67"/>
    <w:rsid w:val="00A60CFB"/>
    <w:rsid w:val="00A6571F"/>
    <w:rsid w:val="00A94F95"/>
    <w:rsid w:val="00A95744"/>
    <w:rsid w:val="00AC4D1E"/>
    <w:rsid w:val="00B13A39"/>
    <w:rsid w:val="00B13AC3"/>
    <w:rsid w:val="00B13DD1"/>
    <w:rsid w:val="00B165B4"/>
    <w:rsid w:val="00B219EA"/>
    <w:rsid w:val="00B26E60"/>
    <w:rsid w:val="00B32E6F"/>
    <w:rsid w:val="00B6529A"/>
    <w:rsid w:val="00B81C16"/>
    <w:rsid w:val="00B861A2"/>
    <w:rsid w:val="00BA3545"/>
    <w:rsid w:val="00C24CF7"/>
    <w:rsid w:val="00C77ACB"/>
    <w:rsid w:val="00C839EB"/>
    <w:rsid w:val="00C9171A"/>
    <w:rsid w:val="00CA5CB6"/>
    <w:rsid w:val="00CE53EF"/>
    <w:rsid w:val="00D14502"/>
    <w:rsid w:val="00D20E3D"/>
    <w:rsid w:val="00D256F5"/>
    <w:rsid w:val="00D27233"/>
    <w:rsid w:val="00D45168"/>
    <w:rsid w:val="00D70E3C"/>
    <w:rsid w:val="00D777F3"/>
    <w:rsid w:val="00D811C8"/>
    <w:rsid w:val="00D83227"/>
    <w:rsid w:val="00D972B4"/>
    <w:rsid w:val="00DB309A"/>
    <w:rsid w:val="00DB6556"/>
    <w:rsid w:val="00E42C1C"/>
    <w:rsid w:val="00E85871"/>
    <w:rsid w:val="00E918AB"/>
    <w:rsid w:val="00E919F7"/>
    <w:rsid w:val="00E970ED"/>
    <w:rsid w:val="00EB4EE9"/>
    <w:rsid w:val="00EC3E24"/>
    <w:rsid w:val="00F5270C"/>
    <w:rsid w:val="00F57A68"/>
    <w:rsid w:val="00F74984"/>
    <w:rsid w:val="00F832F2"/>
    <w:rsid w:val="00FA2647"/>
    <w:rsid w:val="00FB5727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04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2B738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177</Words>
  <Characters>976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4</cp:revision>
  <dcterms:created xsi:type="dcterms:W3CDTF">2015-03-02T03:13:00Z</dcterms:created>
  <dcterms:modified xsi:type="dcterms:W3CDTF">2015-03-29T17:53:00Z</dcterms:modified>
</cp:coreProperties>
</file>