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205D33" w:rsidRDefault="00EB0942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205D33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A7515B">
        <w:rPr>
          <w:rFonts w:ascii="Arial" w:hAnsi="Arial" w:cs="Arial"/>
        </w:rPr>
        <w:t>Enuncia o teorema recíproco do T</w:t>
      </w:r>
      <w:r w:rsidR="00205D33">
        <w:rPr>
          <w:rFonts w:ascii="Arial" w:hAnsi="Arial" w:cs="Arial"/>
        </w:rPr>
        <w:t xml:space="preserve">eorema de Pitágoras e identifica a </w:t>
      </w:r>
      <w:r w:rsidR="00730AE1">
        <w:rPr>
          <w:rFonts w:ascii="Arial" w:hAnsi="Arial" w:cs="Arial"/>
        </w:rPr>
        <w:t xml:space="preserve">sua </w:t>
      </w:r>
      <w:r w:rsidR="00205D33">
        <w:rPr>
          <w:rFonts w:ascii="Arial" w:hAnsi="Arial" w:cs="Arial"/>
        </w:rPr>
        <w:t>hipótese e tese.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5E10B5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205D33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 xml:space="preserve">Em cada uma das implicações </w:t>
      </w:r>
      <w:r w:rsidR="006B4D70">
        <w:rPr>
          <w:rFonts w:ascii="Arial" w:hAnsi="Arial" w:cs="Arial"/>
        </w:rPr>
        <w:t>enuncia</w:t>
      </w:r>
      <w:r>
        <w:rPr>
          <w:rFonts w:ascii="Arial" w:hAnsi="Arial" w:cs="Arial"/>
        </w:rPr>
        <w:t xml:space="preserve"> a condição suficiente e a condição necessária e diz se a implicação recíproca é verdadeira.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05D33">
        <w:rPr>
          <w:rFonts w:ascii="Arial" w:hAnsi="Arial" w:cs="Arial"/>
          <w:b/>
        </w:rPr>
        <w:t>2.</w:t>
      </w:r>
      <w:proofErr w:type="gramStart"/>
      <w:r w:rsidRPr="00205D33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Se</w:t>
      </w:r>
      <w:proofErr w:type="gramEnd"/>
      <w:r>
        <w:rPr>
          <w:rFonts w:ascii="Arial" w:hAnsi="Arial" w:cs="Arial"/>
        </w:rPr>
        <w:t xml:space="preserve"> um quadrilátero é um paralelogramo, </w:t>
      </w:r>
      <w:r w:rsidR="00730AE1">
        <w:rPr>
          <w:rFonts w:ascii="Arial" w:hAnsi="Arial" w:cs="Arial"/>
        </w:rPr>
        <w:t xml:space="preserve">então </w:t>
      </w:r>
      <w:r>
        <w:rPr>
          <w:rFonts w:ascii="Arial" w:hAnsi="Arial" w:cs="Arial"/>
        </w:rPr>
        <w:t xml:space="preserve">é um </w:t>
      </w:r>
      <w:r w:rsidR="00210C6E">
        <w:rPr>
          <w:rFonts w:ascii="Arial" w:hAnsi="Arial" w:cs="Arial"/>
        </w:rPr>
        <w:t>trapézio</w:t>
      </w:r>
      <w:r>
        <w:rPr>
          <w:rFonts w:ascii="Arial" w:hAnsi="Arial" w:cs="Arial"/>
        </w:rPr>
        <w:t>.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05D33">
        <w:rPr>
          <w:rFonts w:ascii="Arial" w:hAnsi="Arial" w:cs="Arial"/>
          <w:b/>
        </w:rPr>
        <w:t>2.</w:t>
      </w:r>
      <w:proofErr w:type="gramStart"/>
      <w:r w:rsidRPr="00205D33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Se</w:t>
      </w:r>
      <w:proofErr w:type="gramEnd"/>
      <w:r>
        <w:rPr>
          <w:rFonts w:ascii="Arial" w:hAnsi="Arial" w:cs="Arial"/>
        </w:rPr>
        <w:t xml:space="preserve"> um quadrilátero é um quadrado, </w:t>
      </w:r>
      <w:r w:rsidR="00730AE1">
        <w:rPr>
          <w:rFonts w:ascii="Arial" w:hAnsi="Arial" w:cs="Arial"/>
        </w:rPr>
        <w:t xml:space="preserve">então </w:t>
      </w:r>
      <w:r>
        <w:rPr>
          <w:rFonts w:ascii="Arial" w:hAnsi="Arial" w:cs="Arial"/>
        </w:rPr>
        <w:t>é um retângulo.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05D33">
        <w:rPr>
          <w:rFonts w:ascii="Arial" w:hAnsi="Arial" w:cs="Arial"/>
          <w:b/>
        </w:rPr>
        <w:t>2.</w:t>
      </w:r>
      <w:proofErr w:type="gramStart"/>
      <w:r w:rsidRPr="00205D33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proofErr w:type="gramEnd"/>
      <w:r w:rsidRPr="00205D33">
        <w:rPr>
          <w:rFonts w:ascii="Arial" w:hAnsi="Arial" w:cs="Arial"/>
          <w:position w:val="-6"/>
        </w:rPr>
        <w:object w:dxaOrig="157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15pt" o:ole="">
            <v:imagedata r:id="rId8" o:title=""/>
          </v:shape>
          <o:OLEObject Type="Embed" ProgID="Equation.DSMT4" ShapeID="_x0000_i1025" DrawAspect="Content" ObjectID="_1499152750" r:id="rId9"/>
        </w:object>
      </w:r>
      <w:bookmarkStart w:id="0" w:name="_GoBack"/>
      <w:bookmarkEnd w:id="0"/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05D33">
        <w:rPr>
          <w:rFonts w:ascii="Arial" w:hAnsi="Arial" w:cs="Arial"/>
          <w:b/>
        </w:rPr>
        <w:t>2.</w:t>
      </w:r>
      <w:proofErr w:type="gramStart"/>
      <w:r w:rsidRPr="00205D33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Se</w:t>
      </w:r>
      <w:proofErr w:type="gramEnd"/>
      <w:r>
        <w:rPr>
          <w:rFonts w:ascii="Arial" w:hAnsi="Arial" w:cs="Arial"/>
        </w:rPr>
        <w:t xml:space="preserve"> um triângulo tem os dois lados iguais, então tem dois ângulos internos iguais.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05D33">
        <w:rPr>
          <w:rFonts w:ascii="Arial" w:hAnsi="Arial" w:cs="Arial"/>
          <w:b/>
        </w:rPr>
        <w:t>2.</w:t>
      </w:r>
      <w:proofErr w:type="gramStart"/>
      <w:r w:rsidRPr="00205D33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 </w:t>
      </w:r>
      <w:proofErr w:type="gramEnd"/>
      <w:r w:rsidRPr="00205D33">
        <w:rPr>
          <w:rFonts w:ascii="Arial" w:hAnsi="Arial" w:cs="Arial"/>
          <w:position w:val="-6"/>
        </w:rPr>
        <w:object w:dxaOrig="1700" w:dyaOrig="300">
          <v:shape id="_x0000_i1026" type="#_x0000_t75" style="width:84.75pt;height:15pt" o:ole="">
            <v:imagedata r:id="rId10" o:title=""/>
          </v:shape>
          <o:OLEObject Type="Embed" ProgID="Equation.DSMT4" ShapeID="_x0000_i1026" DrawAspect="Content" ObjectID="_1499152751" r:id="rId11"/>
        </w:object>
      </w:r>
      <w:r>
        <w:rPr>
          <w:rFonts w:ascii="Arial" w:hAnsi="Arial" w:cs="Arial"/>
        </w:rPr>
        <w:t xml:space="preserve"> 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05D33">
        <w:rPr>
          <w:rFonts w:ascii="Arial" w:hAnsi="Arial" w:cs="Arial"/>
          <w:b/>
        </w:rPr>
        <w:t>2.</w:t>
      </w:r>
      <w:proofErr w:type="gramStart"/>
      <w:r w:rsidRPr="00205D33">
        <w:rPr>
          <w:rFonts w:ascii="Arial" w:hAnsi="Arial" w:cs="Arial"/>
          <w:b/>
        </w:rPr>
        <w:t>6.</w:t>
      </w:r>
      <w:r>
        <w:rPr>
          <w:rFonts w:ascii="Arial" w:hAnsi="Arial" w:cs="Arial"/>
        </w:rPr>
        <w:t xml:space="preserve">  </w:t>
      </w:r>
      <w:proofErr w:type="gramEnd"/>
      <w:r w:rsidRPr="00205D33">
        <w:rPr>
          <w:rFonts w:ascii="Arial" w:hAnsi="Arial" w:cs="Arial"/>
          <w:position w:val="-6"/>
        </w:rPr>
        <w:object w:dxaOrig="1579" w:dyaOrig="300">
          <v:shape id="_x0000_i1027" type="#_x0000_t75" style="width:78.75pt;height:15pt" o:ole="">
            <v:imagedata r:id="rId12" o:title=""/>
          </v:shape>
          <o:OLEObject Type="Embed" ProgID="Equation.DSMT4" ShapeID="_x0000_i1027" DrawAspect="Content" ObjectID="_1499152752" r:id="rId13"/>
        </w:objec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205D33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Considera o</w:t>
      </w:r>
      <w:r w:rsidR="00A7515B">
        <w:rPr>
          <w:rFonts w:ascii="Arial" w:hAnsi="Arial" w:cs="Arial"/>
        </w:rPr>
        <w:t xml:space="preserve"> seguinte </w:t>
      </w:r>
      <w:r>
        <w:rPr>
          <w:rFonts w:ascii="Arial" w:hAnsi="Arial" w:cs="Arial"/>
        </w:rPr>
        <w:t>teorema:</w:t>
      </w:r>
    </w:p>
    <w:p w:rsidR="00730AE1" w:rsidRDefault="00A7515B" w:rsidP="00A7515B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>
        <w:rPr>
          <w:rFonts w:ascii="Arial" w:hAnsi="Arial" w:cs="Arial"/>
          <w:i/>
        </w:rPr>
        <w:tab/>
      </w:r>
      <w:r w:rsidR="00730AE1" w:rsidRPr="00730AE1">
        <w:rPr>
          <w:rFonts w:ascii="Arial" w:hAnsi="Arial" w:cs="Arial"/>
        </w:rPr>
        <w:t>“</w:t>
      </w:r>
      <w:r w:rsidR="00205D33" w:rsidRPr="00730AE1">
        <w:rPr>
          <w:rFonts w:ascii="Arial" w:hAnsi="Arial" w:cs="Arial"/>
        </w:rPr>
        <w:t xml:space="preserve">Dois ângulos correspondentes determinados por uma secante </w:t>
      </w:r>
      <w:proofErr w:type="gramStart"/>
      <w:r w:rsidR="00205D33" w:rsidRPr="00730AE1">
        <w:rPr>
          <w:rFonts w:ascii="Arial" w:hAnsi="Arial" w:cs="Arial"/>
        </w:rPr>
        <w:t>em</w:t>
      </w:r>
      <w:proofErr w:type="gramEnd"/>
      <w:r w:rsidR="00205D33" w:rsidRPr="00730AE1">
        <w:rPr>
          <w:rFonts w:ascii="Arial" w:hAnsi="Arial" w:cs="Arial"/>
        </w:rPr>
        <w:t xml:space="preserve"> </w:t>
      </w:r>
    </w:p>
    <w:p w:rsidR="00205D33" w:rsidRPr="00730AE1" w:rsidRDefault="00205D33" w:rsidP="00A7515B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proofErr w:type="gramStart"/>
      <w:r w:rsidRPr="00730AE1">
        <w:rPr>
          <w:rFonts w:ascii="Arial" w:hAnsi="Arial" w:cs="Arial"/>
        </w:rPr>
        <w:t>duas</w:t>
      </w:r>
      <w:proofErr w:type="gramEnd"/>
      <w:r w:rsidRPr="00730AE1">
        <w:rPr>
          <w:rFonts w:ascii="Arial" w:hAnsi="Arial" w:cs="Arial"/>
        </w:rPr>
        <w:t xml:space="preserve"> retas paralelas são iguais.</w:t>
      </w:r>
      <w:r w:rsidR="00730AE1" w:rsidRPr="00730AE1">
        <w:rPr>
          <w:rFonts w:ascii="Arial" w:hAnsi="Arial" w:cs="Arial"/>
        </w:rPr>
        <w:t>”</w:t>
      </w:r>
    </w:p>
    <w:p w:rsidR="00205D33" w:rsidRDefault="00205D33" w:rsidP="00205D33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Identifica a hipótese e a tese do teorema.</w:t>
      </w:r>
    </w:p>
    <w:p w:rsidR="005E10B5" w:rsidRPr="005E10B5" w:rsidRDefault="005E10B5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BE67DE" w:rsidRPr="00BE67DE" w:rsidRDefault="00BE67DE" w:rsidP="00650684">
      <w:pPr>
        <w:spacing w:after="0" w:line="288" w:lineRule="auto"/>
        <w:jc w:val="both"/>
        <w:rPr>
          <w:rFonts w:ascii="Arial" w:hAnsi="Arial" w:cs="Arial"/>
        </w:rPr>
      </w:pPr>
    </w:p>
    <w:sectPr w:rsidR="00BE67DE" w:rsidRPr="00BE67DE" w:rsidSect="00862E07">
      <w:headerReference w:type="even" r:id="rId14"/>
      <w:headerReference w:type="default" r:id="rId15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601" w:rsidRDefault="00AC6601" w:rsidP="00D177B5">
      <w:pPr>
        <w:spacing w:after="0" w:line="240" w:lineRule="auto"/>
      </w:pPr>
      <w:r>
        <w:separator/>
      </w:r>
    </w:p>
  </w:endnote>
  <w:endnote w:type="continuationSeparator" w:id="0">
    <w:p w:rsidR="00AC6601" w:rsidRDefault="00AC660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601" w:rsidRDefault="00AC6601" w:rsidP="00D177B5">
      <w:pPr>
        <w:spacing w:after="0" w:line="240" w:lineRule="auto"/>
      </w:pPr>
      <w:r>
        <w:separator/>
      </w:r>
    </w:p>
  </w:footnote>
  <w:footnote w:type="continuationSeparator" w:id="0">
    <w:p w:rsidR="00AC6601" w:rsidRDefault="00AC660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650684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730885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650684" w:rsidRDefault="00650684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="00205D33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7F7F6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730AE1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730AE1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55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GCq1l3dAAAA&#10;CQEAAA8AAAAAAAAAAAAAAAAADwUAAGRycy9kb3ducmV2LnhtbFBLBQYAAAAABAAEAPMAAAAZBgAA&#10;AAA=&#10;" filled="f" stroked="f">
              <v:path arrowok="t"/>
              <v:textbox>
                <w:txbxContent>
                  <w:p w:rsidR="00760D42" w:rsidRPr="00650684" w:rsidRDefault="00650684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="00205D33">
                      <w:rPr>
                        <w:spacing w:val="0"/>
                        <w:sz w:val="28"/>
                        <w:szCs w:val="28"/>
                        <w:lang w:val="pt-PT"/>
                      </w:rPr>
                      <w:t>4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7F7F68">
                      <w:rPr>
                        <w:spacing w:val="0"/>
                        <w:sz w:val="28"/>
                        <w:szCs w:val="28"/>
                        <w:lang w:val="pt-PT"/>
                      </w:rPr>
                      <w:t>1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730AE1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730AE1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730AE1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730AE1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023E71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730AE1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023E7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730AE1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730AE1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023E71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730AE1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023E71" w:rsidP="00130517">
                          <w:pPr>
                            <w:pStyle w:val="IDENTIFICACAO"/>
                          </w:pPr>
                          <w:r>
                            <w:t xml:space="preserve">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30517"/>
    <w:rsid w:val="00137678"/>
    <w:rsid w:val="00183308"/>
    <w:rsid w:val="001871AC"/>
    <w:rsid w:val="001A63BE"/>
    <w:rsid w:val="00205D33"/>
    <w:rsid w:val="00210C6E"/>
    <w:rsid w:val="00266005"/>
    <w:rsid w:val="00271F71"/>
    <w:rsid w:val="002A1042"/>
    <w:rsid w:val="0036406B"/>
    <w:rsid w:val="00374A45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50684"/>
    <w:rsid w:val="00653546"/>
    <w:rsid w:val="00661395"/>
    <w:rsid w:val="006A50CF"/>
    <w:rsid w:val="006A59C6"/>
    <w:rsid w:val="006B4D70"/>
    <w:rsid w:val="006B6ED5"/>
    <w:rsid w:val="006D4D88"/>
    <w:rsid w:val="0071244F"/>
    <w:rsid w:val="00730AE1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62E07"/>
    <w:rsid w:val="00871045"/>
    <w:rsid w:val="008D023F"/>
    <w:rsid w:val="00917655"/>
    <w:rsid w:val="00945884"/>
    <w:rsid w:val="009559C7"/>
    <w:rsid w:val="009A43BA"/>
    <w:rsid w:val="009B5AA5"/>
    <w:rsid w:val="009C2ABF"/>
    <w:rsid w:val="00A7515B"/>
    <w:rsid w:val="00A82A80"/>
    <w:rsid w:val="00AC6601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D177B5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F34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97CD1D3D-D0DB-4DFE-8803-C8020A9E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B4EB15-301D-488D-82A9-B4A4F473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10</cp:revision>
  <cp:lastPrinted>2015-07-23T09:32:00Z</cp:lastPrinted>
  <dcterms:created xsi:type="dcterms:W3CDTF">2015-07-17T17:29:00Z</dcterms:created>
  <dcterms:modified xsi:type="dcterms:W3CDTF">2015-07-23T09:32:00Z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